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B75EA" w14:textId="3B902837" w:rsidR="00BA15D7" w:rsidRDefault="00445D98" w:rsidP="00445D98">
      <w:pPr>
        <w:pStyle w:val="Title"/>
      </w:pPr>
      <w:r>
        <w:t>Guidance on CBA tool</w:t>
      </w:r>
    </w:p>
    <w:p w14:paraId="1E94FA57" w14:textId="633194E0" w:rsidR="00445D98" w:rsidRDefault="00445D98" w:rsidP="00445D98">
      <w:pPr>
        <w:pStyle w:val="Heading1"/>
      </w:pPr>
      <w:r>
        <w:t>Methodology</w:t>
      </w:r>
    </w:p>
    <w:p w14:paraId="4710A223" w14:textId="4908D618" w:rsidR="00445D98" w:rsidRDefault="00445D98" w:rsidP="00445D98">
      <w:pPr>
        <w:pStyle w:val="Heading2"/>
      </w:pPr>
      <w:r>
        <w:t>Evaluation methods: cost-benefit analysis (CBA) and social cost-benefit analysis (SCBA)</w:t>
      </w:r>
    </w:p>
    <w:p w14:paraId="1352A09E" w14:textId="43A90F04" w:rsidR="00445D98" w:rsidRDefault="00445D98" w:rsidP="00445D98">
      <w:r>
        <w:t xml:space="preserve">The Cost Benefit Analysis (CBA) is a practical way of evaluating the desirability of projects. CBA is applicable when two aspects are important: (a) evaluating from long-term perspectives to consider the consequences in </w:t>
      </w:r>
      <w:r w:rsidR="00E61207">
        <w:t xml:space="preserve">the </w:t>
      </w:r>
      <w:r>
        <w:t xml:space="preserve">near and </w:t>
      </w:r>
      <w:r w:rsidR="00E61207">
        <w:t xml:space="preserve">far </w:t>
      </w:r>
      <w:r>
        <w:t>future, (b) a wide view to consider different side-effects on various target groups, including the citizens and private parties. In a nutshell, CBA is a decision support tool, which is applied to enumerate and evaluate all the relevant costs and benefits for the investment plans, policies, or other actions planned by public or private entities.</w:t>
      </w:r>
    </w:p>
    <w:p w14:paraId="63E8812C" w14:textId="77777777" w:rsidR="00445D98" w:rsidRDefault="00445D98" w:rsidP="00445D98">
      <w:r>
        <w:t>The overall objectives of CBA for the economy and society are to:</w:t>
      </w:r>
    </w:p>
    <w:p w14:paraId="69B06287" w14:textId="77777777" w:rsidR="00445D98" w:rsidRDefault="00445D98" w:rsidP="00445D98">
      <w:r>
        <w:t>•</w:t>
      </w:r>
      <w:r>
        <w:tab/>
        <w:t xml:space="preserve">Evaluate the impacts of the investment, </w:t>
      </w:r>
    </w:p>
    <w:p w14:paraId="2EC0C450" w14:textId="77777777" w:rsidR="00445D98" w:rsidRDefault="00445D98" w:rsidP="00445D98">
      <w:r>
        <w:t>•</w:t>
      </w:r>
      <w:r>
        <w:tab/>
        <w:t xml:space="preserve">Justify the feasibility of implementing a specific investment (yes/no decision), and </w:t>
      </w:r>
    </w:p>
    <w:p w14:paraId="343800CA" w14:textId="77777777" w:rsidR="00445D98" w:rsidRDefault="00445D98" w:rsidP="00445D98">
      <w:r>
        <w:t>•</w:t>
      </w:r>
      <w:r>
        <w:tab/>
        <w:t>Select the suitable choice, maximise the net benefits, among different Scenarios.</w:t>
      </w:r>
    </w:p>
    <w:p w14:paraId="69406C42" w14:textId="78CE58FE" w:rsidR="00445D98" w:rsidRDefault="00445D98" w:rsidP="00445D98">
      <w:r>
        <w:t>The following steps are usually conducted for CBA</w:t>
      </w:r>
      <w:r>
        <w:rPr>
          <w:rStyle w:val="FootnoteReference"/>
        </w:rPr>
        <w:footnoteReference w:id="1"/>
      </w:r>
      <w:r>
        <w:t>:</w:t>
      </w:r>
    </w:p>
    <w:p w14:paraId="647BAE9C" w14:textId="77777777" w:rsidR="00445D98" w:rsidRDefault="00445D98" w:rsidP="00445D98">
      <w:pPr>
        <w:keepNext/>
      </w:pPr>
      <w:r w:rsidRPr="00445D98">
        <w:rPr>
          <w:noProof/>
        </w:rPr>
        <w:drawing>
          <wp:inline distT="0" distB="0" distL="0" distR="0" wp14:anchorId="7FDB77ED" wp14:editId="2194AFF1">
            <wp:extent cx="4686706" cy="2827265"/>
            <wp:effectExtent l="0" t="0" r="0" b="0"/>
            <wp:docPr id="1179823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823830" name=""/>
                    <pic:cNvPicPr/>
                  </pic:nvPicPr>
                  <pic:blipFill>
                    <a:blip r:embed="rId11"/>
                    <a:stretch>
                      <a:fillRect/>
                    </a:stretch>
                  </pic:blipFill>
                  <pic:spPr>
                    <a:xfrm>
                      <a:off x="0" y="0"/>
                      <a:ext cx="4686706" cy="2827265"/>
                    </a:xfrm>
                    <a:prstGeom prst="rect">
                      <a:avLst/>
                    </a:prstGeom>
                  </pic:spPr>
                </pic:pic>
              </a:graphicData>
            </a:graphic>
          </wp:inline>
        </w:drawing>
      </w:r>
    </w:p>
    <w:p w14:paraId="2D11B42B" w14:textId="7D562B3A" w:rsidR="00445D98" w:rsidRDefault="00445D98" w:rsidP="00445D9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Pr="007063A7">
        <w:t>Six steps for performing a CBA</w:t>
      </w:r>
    </w:p>
    <w:p w14:paraId="69DD9279" w14:textId="42030BEA" w:rsidR="00445D98" w:rsidRDefault="00445D98" w:rsidP="00445D98">
      <w:r>
        <w:t>Two different types of Cost-Benefit Analyses can be conducted, namely:</w:t>
      </w:r>
    </w:p>
    <w:p w14:paraId="23C534BF" w14:textId="77777777" w:rsidR="00445D98" w:rsidRDefault="00445D98" w:rsidP="00445D98"/>
    <w:p w14:paraId="222135FF" w14:textId="0F5D8D2E" w:rsidR="00445D98" w:rsidRDefault="00445D98" w:rsidP="00445D98">
      <w:pPr>
        <w:pStyle w:val="Caption"/>
        <w:keepNext/>
      </w:pPr>
      <w:r>
        <w:lastRenderedPageBreak/>
        <w:t xml:space="preserve">Table </w:t>
      </w:r>
      <w:r>
        <w:fldChar w:fldCharType="begin"/>
      </w:r>
      <w:r>
        <w:instrText xml:space="preserve"> SEQ Table \* ARABIC </w:instrText>
      </w:r>
      <w:r>
        <w:fldChar w:fldCharType="separate"/>
      </w:r>
      <w:r w:rsidR="00843A57">
        <w:rPr>
          <w:noProof/>
        </w:rPr>
        <w:t>1</w:t>
      </w:r>
      <w:r>
        <w:fldChar w:fldCharType="end"/>
      </w:r>
      <w:r>
        <w:t xml:space="preserve">: </w:t>
      </w:r>
      <w:r w:rsidRPr="000634D3">
        <w:t>Types of CBAs and their definitions</w:t>
      </w: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445D98" w:rsidRPr="00FC0EC2" w14:paraId="6F62998F" w14:textId="77777777" w:rsidTr="00445D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shd w:val="clear" w:color="auto" w:fill="auto"/>
          </w:tcPr>
          <w:p w14:paraId="73F0857A" w14:textId="77777777" w:rsidR="00445D98" w:rsidRPr="00FC0EC2" w:rsidRDefault="00445D98" w:rsidP="00085DAB">
            <w:pPr>
              <w:spacing w:before="120" w:after="120"/>
              <w:rPr>
                <w:rFonts w:asciiTheme="minorBidi" w:hAnsiTheme="minorBidi"/>
                <w:sz w:val="20"/>
                <w:szCs w:val="21"/>
              </w:rPr>
            </w:pPr>
            <w:r w:rsidRPr="00FC0EC2">
              <w:rPr>
                <w:rFonts w:asciiTheme="minorBidi" w:hAnsiTheme="minorBidi"/>
                <w:sz w:val="20"/>
                <w:szCs w:val="21"/>
              </w:rPr>
              <w:t>Types of CBA</w:t>
            </w:r>
          </w:p>
        </w:tc>
        <w:tc>
          <w:tcPr>
            <w:tcW w:w="6894" w:type="dxa"/>
            <w:shd w:val="clear" w:color="auto" w:fill="auto"/>
          </w:tcPr>
          <w:p w14:paraId="6D3D9AA5" w14:textId="77777777" w:rsidR="00445D98" w:rsidRPr="00FC0EC2" w:rsidRDefault="00445D98" w:rsidP="00085DA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Definition</w:t>
            </w:r>
          </w:p>
        </w:tc>
      </w:tr>
      <w:tr w:rsidR="00445D98" w:rsidRPr="00FC0EC2" w14:paraId="5807D2A3" w14:textId="77777777" w:rsidTr="00445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shd w:val="clear" w:color="auto" w:fill="auto"/>
          </w:tcPr>
          <w:p w14:paraId="34A9F943"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 xml:space="preserve">Original CBA </w:t>
            </w:r>
          </w:p>
        </w:tc>
        <w:tc>
          <w:tcPr>
            <w:tcW w:w="6894" w:type="dxa"/>
            <w:shd w:val="clear" w:color="auto" w:fill="auto"/>
          </w:tcPr>
          <w:p w14:paraId="77CC51FC"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A cost-benefit analysis (CBA) is conducted to measure the benefits of a decision or taking action minus the costs associated with taking that action. CBA includes measurable financial metrics such as revenue or costs due to the decision to pursue a project. In this research, the term economically feasible or not feasible are also used to explain the results of the CBA analysis.</w:t>
            </w:r>
          </w:p>
          <w:p w14:paraId="747217CC"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The economic impacts are identified, and the evaluation is performed taking into consideration the impacts on the national economy. The analysis is based on changes in the market prices.</w:t>
            </w:r>
          </w:p>
        </w:tc>
      </w:tr>
      <w:tr w:rsidR="00445D98" w:rsidRPr="00FC0EC2" w14:paraId="70D23FDE" w14:textId="77777777" w:rsidTr="00445D98">
        <w:tc>
          <w:tcPr>
            <w:cnfStyle w:val="001000000000" w:firstRow="0" w:lastRow="0" w:firstColumn="1" w:lastColumn="0" w:oddVBand="0" w:evenVBand="0" w:oddHBand="0" w:evenHBand="0" w:firstRowFirstColumn="0" w:firstRowLastColumn="0" w:lastRowFirstColumn="0" w:lastRowLastColumn="0"/>
            <w:tcW w:w="2122" w:type="dxa"/>
            <w:shd w:val="clear" w:color="auto" w:fill="auto"/>
          </w:tcPr>
          <w:p w14:paraId="3F2895DA"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Social CBA</w:t>
            </w:r>
          </w:p>
        </w:tc>
        <w:tc>
          <w:tcPr>
            <w:tcW w:w="6894" w:type="dxa"/>
            <w:shd w:val="clear" w:color="auto" w:fill="auto"/>
          </w:tcPr>
          <w:p w14:paraId="13098F7C" w14:textId="2EE4FF7D"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SCBA includes all the factors of CBA analysis. In addition to </w:t>
            </w:r>
            <w:r w:rsidRPr="00445D98">
              <w:rPr>
                <w:rFonts w:asciiTheme="minorBidi" w:hAnsiTheme="minorBidi"/>
                <w:sz w:val="20"/>
                <w:szCs w:val="21"/>
              </w:rPr>
              <w:t>this, the</w:t>
            </w:r>
            <w:r w:rsidRPr="00FC0EC2">
              <w:rPr>
                <w:rFonts w:asciiTheme="minorBidi" w:hAnsiTheme="minorBidi"/>
                <w:sz w:val="20"/>
                <w:szCs w:val="21"/>
              </w:rPr>
              <w:t xml:space="preserve"> environmental and social impacts are identified, and the evaluation is performed taking into consideration the impacts on the whole society. The analysis includes both the market prices and the external cost</w:t>
            </w:r>
            <w:r w:rsidR="00E06324">
              <w:rPr>
                <w:rFonts w:asciiTheme="minorBidi" w:hAnsiTheme="minorBidi"/>
                <w:sz w:val="20"/>
                <w:szCs w:val="21"/>
              </w:rPr>
              <w:t>s</w:t>
            </w:r>
            <w:r w:rsidRPr="00FC0EC2">
              <w:rPr>
                <w:rFonts w:asciiTheme="minorBidi" w:hAnsiTheme="minorBidi"/>
                <w:sz w:val="20"/>
                <w:szCs w:val="21"/>
              </w:rPr>
              <w:t xml:space="preserve"> and benefits triggered by the examined investments.</w:t>
            </w:r>
          </w:p>
        </w:tc>
      </w:tr>
    </w:tbl>
    <w:p w14:paraId="621BACC2" w14:textId="77777777" w:rsidR="00445D98" w:rsidRDefault="00445D98" w:rsidP="00445D98"/>
    <w:p w14:paraId="40D23B50" w14:textId="58592EED" w:rsidR="00445D98" w:rsidRDefault="00445D98" w:rsidP="00445D98">
      <w:pPr>
        <w:pStyle w:val="Heading2"/>
      </w:pPr>
      <w:r>
        <w:t>CBA methodology</w:t>
      </w:r>
      <w:r>
        <w:rPr>
          <w:rStyle w:val="FootnoteReference"/>
        </w:rPr>
        <w:footnoteReference w:id="2"/>
      </w:r>
    </w:p>
    <w:p w14:paraId="13C268BE" w14:textId="3AD045C7" w:rsidR="00445D98" w:rsidRDefault="00445D98" w:rsidP="00445D98">
      <w:r w:rsidRPr="00445D98">
        <w:t>The CBA aims to examine the social profitability of the examined energy efficiency projects, justifying the potential utilization of specific financial schemes (such as subsidies) in relation with the results of the financial analysis. The conduction of the financial analysis and the social CBA leads to the calculation of two different indicators, namely the financial NPV (or the financial IRR) and the social NPV (or the social IRR respectively).</w:t>
      </w:r>
    </w:p>
    <w:p w14:paraId="68F8BD85" w14:textId="22E2913C" w:rsidR="00445D98" w:rsidRDefault="00445D98" w:rsidP="00445D98">
      <w:pPr>
        <w:pStyle w:val="Caption"/>
        <w:keepNext/>
      </w:pPr>
      <w:r>
        <w:t xml:space="preserve">Table </w:t>
      </w:r>
      <w:r>
        <w:fldChar w:fldCharType="begin"/>
      </w:r>
      <w:r>
        <w:instrText xml:space="preserve"> SEQ Table \* ARABIC </w:instrText>
      </w:r>
      <w:r>
        <w:fldChar w:fldCharType="separate"/>
      </w:r>
      <w:r w:rsidR="00843A57">
        <w:rPr>
          <w:noProof/>
        </w:rPr>
        <w:t>2</w:t>
      </w:r>
      <w:r>
        <w:fldChar w:fldCharType="end"/>
      </w:r>
      <w:r>
        <w:t xml:space="preserve">: </w:t>
      </w:r>
      <w:r w:rsidRPr="001B277B">
        <w:t>The results of financial and social NPVs and the decisions to move forward/to stop</w:t>
      </w: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081"/>
        <w:gridCol w:w="992"/>
        <w:gridCol w:w="2835"/>
        <w:gridCol w:w="2784"/>
      </w:tblGrid>
      <w:tr w:rsidR="00445D98" w:rsidRPr="00FC0EC2" w14:paraId="2CD05D03" w14:textId="77777777" w:rsidTr="00445D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4" w:type="dxa"/>
            <w:shd w:val="clear" w:color="auto" w:fill="auto"/>
          </w:tcPr>
          <w:p w14:paraId="522AB3D8"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Potential result of calculations</w:t>
            </w:r>
          </w:p>
        </w:tc>
        <w:tc>
          <w:tcPr>
            <w:tcW w:w="1081" w:type="dxa"/>
            <w:shd w:val="clear" w:color="auto" w:fill="auto"/>
          </w:tcPr>
          <w:p w14:paraId="4B42351E" w14:textId="77777777" w:rsidR="00445D98" w:rsidRPr="00FC0EC2" w:rsidRDefault="00445D98" w:rsidP="00085DA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b w:val="0"/>
                <w:sz w:val="20"/>
                <w:szCs w:val="21"/>
              </w:rPr>
            </w:pPr>
            <w:r w:rsidRPr="00FC0EC2">
              <w:rPr>
                <w:rFonts w:asciiTheme="minorBidi" w:hAnsiTheme="minorBidi"/>
                <w:b w:val="0"/>
                <w:sz w:val="20"/>
                <w:szCs w:val="21"/>
              </w:rPr>
              <w:t>Financial NPV</w:t>
            </w:r>
          </w:p>
        </w:tc>
        <w:tc>
          <w:tcPr>
            <w:tcW w:w="992" w:type="dxa"/>
            <w:shd w:val="clear" w:color="auto" w:fill="auto"/>
          </w:tcPr>
          <w:p w14:paraId="45FC9CF6" w14:textId="77777777" w:rsidR="00445D98" w:rsidRPr="00FC0EC2" w:rsidRDefault="00445D98" w:rsidP="00085DA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b w:val="0"/>
                <w:sz w:val="20"/>
                <w:szCs w:val="21"/>
              </w:rPr>
            </w:pPr>
            <w:r w:rsidRPr="00FC0EC2">
              <w:rPr>
                <w:rFonts w:asciiTheme="minorBidi" w:hAnsiTheme="minorBidi"/>
                <w:b w:val="0"/>
                <w:sz w:val="20"/>
                <w:szCs w:val="21"/>
              </w:rPr>
              <w:t>Social NPV</w:t>
            </w:r>
          </w:p>
        </w:tc>
        <w:tc>
          <w:tcPr>
            <w:tcW w:w="2835" w:type="dxa"/>
            <w:shd w:val="clear" w:color="auto" w:fill="auto"/>
          </w:tcPr>
          <w:p w14:paraId="071E53C6" w14:textId="77777777" w:rsidR="00445D98" w:rsidRPr="00FC0EC2" w:rsidRDefault="00445D98" w:rsidP="00085DA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b w:val="0"/>
                <w:sz w:val="20"/>
                <w:szCs w:val="21"/>
              </w:rPr>
            </w:pPr>
            <w:r w:rsidRPr="00FC0EC2">
              <w:rPr>
                <w:rFonts w:asciiTheme="minorBidi" w:hAnsiTheme="minorBidi"/>
                <w:b w:val="0"/>
                <w:sz w:val="20"/>
                <w:szCs w:val="21"/>
              </w:rPr>
              <w:t>Conclusions</w:t>
            </w:r>
          </w:p>
        </w:tc>
        <w:tc>
          <w:tcPr>
            <w:tcW w:w="2784" w:type="dxa"/>
            <w:shd w:val="clear" w:color="auto" w:fill="auto"/>
          </w:tcPr>
          <w:p w14:paraId="31809491" w14:textId="77777777" w:rsidR="00445D98" w:rsidRPr="00FC0EC2" w:rsidRDefault="00445D98" w:rsidP="00085DA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b w:val="0"/>
                <w:sz w:val="20"/>
                <w:szCs w:val="21"/>
              </w:rPr>
            </w:pPr>
            <w:r w:rsidRPr="00FC0EC2">
              <w:rPr>
                <w:rFonts w:asciiTheme="minorBidi" w:hAnsiTheme="minorBidi"/>
                <w:b w:val="0"/>
                <w:sz w:val="20"/>
                <w:szCs w:val="21"/>
              </w:rPr>
              <w:t>Next steps</w:t>
            </w:r>
          </w:p>
        </w:tc>
      </w:tr>
      <w:tr w:rsidR="00445D98" w:rsidRPr="00FC0EC2" w14:paraId="5987F667" w14:textId="77777777" w:rsidTr="00445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4" w:type="dxa"/>
            <w:shd w:val="clear" w:color="auto" w:fill="auto"/>
          </w:tcPr>
          <w:p w14:paraId="508D09DD"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1</w:t>
            </w:r>
            <w:r w:rsidRPr="00FC0EC2">
              <w:rPr>
                <w:rFonts w:asciiTheme="minorBidi" w:hAnsiTheme="minorBidi"/>
                <w:b w:val="0"/>
                <w:sz w:val="20"/>
                <w:szCs w:val="21"/>
                <w:vertAlign w:val="superscript"/>
              </w:rPr>
              <w:t>st</w:t>
            </w:r>
            <w:r w:rsidRPr="00FC0EC2">
              <w:rPr>
                <w:rFonts w:asciiTheme="minorBidi" w:hAnsiTheme="minorBidi"/>
                <w:b w:val="0"/>
                <w:sz w:val="20"/>
                <w:szCs w:val="21"/>
              </w:rPr>
              <w:t xml:space="preserve"> </w:t>
            </w:r>
          </w:p>
        </w:tc>
        <w:tc>
          <w:tcPr>
            <w:tcW w:w="1081" w:type="dxa"/>
            <w:shd w:val="clear" w:color="auto" w:fill="auto"/>
          </w:tcPr>
          <w:p w14:paraId="4DC051F4" w14:textId="77777777" w:rsidR="00445D98" w:rsidRPr="00FC0EC2" w:rsidRDefault="00445D98" w:rsidP="00085DAB">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992" w:type="dxa"/>
            <w:shd w:val="clear" w:color="auto" w:fill="auto"/>
          </w:tcPr>
          <w:p w14:paraId="6614E258" w14:textId="77777777" w:rsidR="00445D98" w:rsidRPr="00FC0EC2" w:rsidRDefault="00445D98" w:rsidP="00085DAB">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2835" w:type="dxa"/>
            <w:shd w:val="clear" w:color="auto" w:fill="auto"/>
          </w:tcPr>
          <w:p w14:paraId="4A3C289A"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Economically and socially beneficial to </w:t>
            </w:r>
            <w:r w:rsidRPr="00FC0EC2">
              <w:rPr>
                <w:rFonts w:asciiTheme="minorBidi" w:hAnsiTheme="minorBidi"/>
                <w:sz w:val="18"/>
                <w:szCs w:val="20"/>
              </w:rPr>
              <w:t>invest</w:t>
            </w:r>
            <w:r w:rsidRPr="00FC0EC2">
              <w:rPr>
                <w:rFonts w:asciiTheme="minorBidi" w:hAnsiTheme="minorBidi"/>
                <w:sz w:val="20"/>
                <w:szCs w:val="21"/>
              </w:rPr>
              <w:t>/implement projects/interventions.</w:t>
            </w:r>
          </w:p>
        </w:tc>
        <w:tc>
          <w:tcPr>
            <w:tcW w:w="2784" w:type="dxa"/>
            <w:shd w:val="clear" w:color="auto" w:fill="auto"/>
          </w:tcPr>
          <w:p w14:paraId="00EE8599"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Promoting these types of investments/interventions</w:t>
            </w:r>
          </w:p>
        </w:tc>
      </w:tr>
      <w:tr w:rsidR="00445D98" w:rsidRPr="00FC0EC2" w14:paraId="6D651C1F" w14:textId="77777777" w:rsidTr="00445D98">
        <w:trPr>
          <w:trHeight w:val="1124"/>
        </w:trPr>
        <w:tc>
          <w:tcPr>
            <w:cnfStyle w:val="001000000000" w:firstRow="0" w:lastRow="0" w:firstColumn="1" w:lastColumn="0" w:oddVBand="0" w:evenVBand="0" w:oddHBand="0" w:evenHBand="0" w:firstRowFirstColumn="0" w:firstRowLastColumn="0" w:lastRowFirstColumn="0" w:lastRowLastColumn="0"/>
            <w:tcW w:w="1324" w:type="dxa"/>
            <w:shd w:val="clear" w:color="auto" w:fill="auto"/>
          </w:tcPr>
          <w:p w14:paraId="5004B39F"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2</w:t>
            </w:r>
            <w:r w:rsidRPr="00FC0EC2">
              <w:rPr>
                <w:rFonts w:asciiTheme="minorBidi" w:hAnsiTheme="minorBidi"/>
                <w:b w:val="0"/>
                <w:sz w:val="20"/>
                <w:szCs w:val="21"/>
                <w:vertAlign w:val="superscript"/>
              </w:rPr>
              <w:t>nd</w:t>
            </w:r>
            <w:r w:rsidRPr="00FC0EC2">
              <w:rPr>
                <w:rFonts w:asciiTheme="minorBidi" w:hAnsiTheme="minorBidi"/>
                <w:b w:val="0"/>
                <w:sz w:val="20"/>
                <w:szCs w:val="21"/>
              </w:rPr>
              <w:t xml:space="preserve"> </w:t>
            </w:r>
          </w:p>
        </w:tc>
        <w:tc>
          <w:tcPr>
            <w:tcW w:w="1081" w:type="dxa"/>
            <w:shd w:val="clear" w:color="auto" w:fill="auto"/>
          </w:tcPr>
          <w:p w14:paraId="5F6BB6C6" w14:textId="77777777" w:rsidR="00445D98" w:rsidRPr="00FC0EC2" w:rsidRDefault="00445D98" w:rsidP="00085DAB">
            <w:pPr>
              <w:spacing w:before="120" w:after="120"/>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992" w:type="dxa"/>
            <w:shd w:val="clear" w:color="auto" w:fill="auto"/>
          </w:tcPr>
          <w:p w14:paraId="424FA5DE" w14:textId="77777777" w:rsidR="00445D98" w:rsidRPr="00FC0EC2" w:rsidRDefault="00445D98" w:rsidP="00085DAB">
            <w:pPr>
              <w:spacing w:before="120" w:after="120"/>
              <w:jc w:val="center"/>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2835" w:type="dxa"/>
            <w:shd w:val="clear" w:color="auto" w:fill="auto"/>
          </w:tcPr>
          <w:p w14:paraId="049B0A9F" w14:textId="7777777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Economically is not beneficial. However, socially is important to invest/implement the project/intervention. </w:t>
            </w:r>
          </w:p>
        </w:tc>
        <w:tc>
          <w:tcPr>
            <w:tcW w:w="2784" w:type="dxa"/>
            <w:shd w:val="clear" w:color="auto" w:fill="auto"/>
          </w:tcPr>
          <w:p w14:paraId="4AF3287D" w14:textId="7777777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Providing financial supports, e.g., subsidies, increasing municipality’s equity share in the investment</w:t>
            </w:r>
          </w:p>
        </w:tc>
      </w:tr>
      <w:tr w:rsidR="00445D98" w:rsidRPr="00FC0EC2" w14:paraId="61AD4C7A" w14:textId="77777777" w:rsidTr="00445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4" w:type="dxa"/>
            <w:shd w:val="clear" w:color="auto" w:fill="auto"/>
          </w:tcPr>
          <w:p w14:paraId="5AF4D3DC"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3</w:t>
            </w:r>
            <w:r w:rsidRPr="00FC0EC2">
              <w:rPr>
                <w:rFonts w:asciiTheme="minorBidi" w:hAnsiTheme="minorBidi"/>
                <w:b w:val="0"/>
                <w:sz w:val="20"/>
                <w:szCs w:val="21"/>
                <w:vertAlign w:val="superscript"/>
              </w:rPr>
              <w:t>rd</w:t>
            </w:r>
            <w:r w:rsidRPr="00FC0EC2">
              <w:rPr>
                <w:rFonts w:asciiTheme="minorBidi" w:hAnsiTheme="minorBidi"/>
                <w:b w:val="0"/>
                <w:sz w:val="20"/>
                <w:szCs w:val="21"/>
              </w:rPr>
              <w:t xml:space="preserve"> </w:t>
            </w:r>
          </w:p>
        </w:tc>
        <w:tc>
          <w:tcPr>
            <w:tcW w:w="1081" w:type="dxa"/>
            <w:shd w:val="clear" w:color="auto" w:fill="auto"/>
          </w:tcPr>
          <w:p w14:paraId="7D708FD6" w14:textId="77777777" w:rsidR="00445D98" w:rsidRPr="00FC0EC2" w:rsidRDefault="00445D98" w:rsidP="00085DAB">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eastAsia="Centhury Gothic"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992" w:type="dxa"/>
            <w:shd w:val="clear" w:color="auto" w:fill="auto"/>
          </w:tcPr>
          <w:p w14:paraId="624AFAAD" w14:textId="77777777" w:rsidR="00445D98" w:rsidRPr="00FC0EC2" w:rsidRDefault="00445D98" w:rsidP="00085DAB">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eastAsia="Centhury Gothic"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2835" w:type="dxa"/>
            <w:shd w:val="clear" w:color="auto" w:fill="auto"/>
          </w:tcPr>
          <w:p w14:paraId="717FBB73"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Economically is beneficial to invest on a project and not socially beneficial. </w:t>
            </w:r>
          </w:p>
        </w:tc>
        <w:tc>
          <w:tcPr>
            <w:tcW w:w="2784" w:type="dxa"/>
            <w:shd w:val="clear" w:color="auto" w:fill="auto"/>
          </w:tcPr>
          <w:p w14:paraId="4C472D9A"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Penalty for the investors and imposing the incentives that distribute the economic benefits among different groups, such as tax.</w:t>
            </w:r>
          </w:p>
        </w:tc>
      </w:tr>
      <w:tr w:rsidR="00445D98" w:rsidRPr="00FC0EC2" w14:paraId="7BD84D9C" w14:textId="77777777" w:rsidTr="00445D98">
        <w:tc>
          <w:tcPr>
            <w:cnfStyle w:val="001000000000" w:firstRow="0" w:lastRow="0" w:firstColumn="1" w:lastColumn="0" w:oddVBand="0" w:evenVBand="0" w:oddHBand="0" w:evenHBand="0" w:firstRowFirstColumn="0" w:firstRowLastColumn="0" w:lastRowFirstColumn="0" w:lastRowLastColumn="0"/>
            <w:tcW w:w="1324" w:type="dxa"/>
            <w:shd w:val="clear" w:color="auto" w:fill="auto"/>
          </w:tcPr>
          <w:p w14:paraId="505BD4DD" w14:textId="77777777" w:rsidR="00445D98" w:rsidRPr="00FC0EC2" w:rsidRDefault="00445D98" w:rsidP="00085DAB">
            <w:pPr>
              <w:spacing w:before="120" w:after="120"/>
              <w:rPr>
                <w:rFonts w:asciiTheme="minorBidi" w:hAnsiTheme="minorBidi"/>
                <w:b w:val="0"/>
                <w:sz w:val="20"/>
                <w:szCs w:val="21"/>
              </w:rPr>
            </w:pPr>
            <w:r w:rsidRPr="00FC0EC2">
              <w:rPr>
                <w:rFonts w:asciiTheme="minorBidi" w:hAnsiTheme="minorBidi"/>
                <w:b w:val="0"/>
                <w:sz w:val="20"/>
                <w:szCs w:val="21"/>
              </w:rPr>
              <w:t>4</w:t>
            </w:r>
            <w:r w:rsidRPr="00FC0EC2">
              <w:rPr>
                <w:rFonts w:asciiTheme="minorBidi" w:hAnsiTheme="minorBidi"/>
                <w:b w:val="0"/>
                <w:sz w:val="20"/>
                <w:szCs w:val="21"/>
                <w:vertAlign w:val="superscript"/>
              </w:rPr>
              <w:t xml:space="preserve">rth </w:t>
            </w:r>
          </w:p>
        </w:tc>
        <w:tc>
          <w:tcPr>
            <w:tcW w:w="1081" w:type="dxa"/>
            <w:shd w:val="clear" w:color="auto" w:fill="auto"/>
          </w:tcPr>
          <w:p w14:paraId="6E01F561" w14:textId="77777777" w:rsidR="00445D98" w:rsidRPr="00FC0EC2" w:rsidRDefault="00445D98" w:rsidP="00085DAB">
            <w:pPr>
              <w:spacing w:before="120" w:after="120"/>
              <w:jc w:val="center"/>
              <w:cnfStyle w:val="000000000000" w:firstRow="0" w:lastRow="0" w:firstColumn="0" w:lastColumn="0" w:oddVBand="0" w:evenVBand="0" w:oddHBand="0" w:evenHBand="0" w:firstRowFirstColumn="0" w:firstRowLastColumn="0" w:lastRowFirstColumn="0" w:lastRowLastColumn="0"/>
              <w:rPr>
                <w:rFonts w:asciiTheme="minorBidi" w:eastAsia="Centhury Gothic"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992" w:type="dxa"/>
            <w:shd w:val="clear" w:color="auto" w:fill="auto"/>
          </w:tcPr>
          <w:p w14:paraId="5C2F74EF" w14:textId="77777777" w:rsidR="00445D98" w:rsidRPr="00FC0EC2" w:rsidRDefault="00445D98" w:rsidP="00085DAB">
            <w:pPr>
              <w:spacing w:before="120" w:after="120"/>
              <w:jc w:val="center"/>
              <w:cnfStyle w:val="000000000000" w:firstRow="0" w:lastRow="0" w:firstColumn="0" w:lastColumn="0" w:oddVBand="0" w:evenVBand="0" w:oddHBand="0" w:evenHBand="0" w:firstRowFirstColumn="0" w:firstRowLastColumn="0" w:lastRowFirstColumn="0" w:lastRowLastColumn="0"/>
              <w:rPr>
                <w:rFonts w:asciiTheme="minorBidi" w:eastAsia="Centhury Gothic" w:hAnsiTheme="minorBidi"/>
                <w:sz w:val="20"/>
                <w:szCs w:val="21"/>
              </w:rPr>
            </w:pPr>
            <m:oMath>
              <m:r>
                <w:rPr>
                  <w:rFonts w:ascii="Cambria Math" w:hAnsi="Cambria Math"/>
                  <w:sz w:val="20"/>
                  <w:szCs w:val="21"/>
                </w:rPr>
                <m:t xml:space="preserve">≤ </m:t>
              </m:r>
            </m:oMath>
            <w:r w:rsidRPr="00FC0EC2">
              <w:rPr>
                <w:rFonts w:asciiTheme="minorBidi" w:hAnsiTheme="minorBidi"/>
                <w:sz w:val="20"/>
                <w:szCs w:val="21"/>
              </w:rPr>
              <w:t>0</w:t>
            </w:r>
          </w:p>
        </w:tc>
        <w:tc>
          <w:tcPr>
            <w:tcW w:w="2835" w:type="dxa"/>
            <w:shd w:val="clear" w:color="auto" w:fill="auto"/>
          </w:tcPr>
          <w:p w14:paraId="23A5E7D7" w14:textId="7777777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Economically and socially is not beneficial. </w:t>
            </w:r>
          </w:p>
        </w:tc>
        <w:tc>
          <w:tcPr>
            <w:tcW w:w="2784" w:type="dxa"/>
            <w:shd w:val="clear" w:color="auto" w:fill="auto"/>
          </w:tcPr>
          <w:p w14:paraId="2EBBF5FA" w14:textId="7777777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Stop the investments/interventions</w:t>
            </w:r>
          </w:p>
        </w:tc>
      </w:tr>
    </w:tbl>
    <w:p w14:paraId="2C3BB08B" w14:textId="77777777" w:rsidR="00445D98" w:rsidRDefault="00445D98" w:rsidP="00445D98"/>
    <w:p w14:paraId="511D56EA" w14:textId="64A21CFE" w:rsidR="00445D98" w:rsidRDefault="00445D98" w:rsidP="00445D98">
      <w:r w:rsidRPr="00445D98">
        <w:lastRenderedPageBreak/>
        <w:t>The proposed steps (Figure 1) are explained below for the application of CBA and social CBA on comparing the supply investments to the demand-side investments of improving the energy efficiency of the buildings.</w:t>
      </w:r>
    </w:p>
    <w:p w14:paraId="2EB9C23C" w14:textId="77777777" w:rsidR="00445D98" w:rsidRDefault="00445D98" w:rsidP="00445D98">
      <w:pPr>
        <w:pStyle w:val="Heading3"/>
      </w:pPr>
      <w:r>
        <w:t>Step 1: define the system boundaries</w:t>
      </w:r>
    </w:p>
    <w:p w14:paraId="275D5024" w14:textId="7EE5295E" w:rsidR="00445D98" w:rsidRDefault="00445D98" w:rsidP="00445D98">
      <w:r>
        <w:t xml:space="preserve">In the current </w:t>
      </w:r>
      <w:r w:rsidR="001E7E72">
        <w:t>tool</w:t>
      </w:r>
      <w:r>
        <w:t xml:space="preserve">, the CBA boundaries </w:t>
      </w:r>
      <w:r w:rsidR="00EE0F36">
        <w:t xml:space="preserve">can be </w:t>
      </w:r>
      <w:r>
        <w:t xml:space="preserve">set </w:t>
      </w:r>
      <w:r w:rsidR="00EE0F36">
        <w:t xml:space="preserve">either </w:t>
      </w:r>
      <w:r>
        <w:t xml:space="preserve">at national </w:t>
      </w:r>
      <w:r w:rsidR="001E171E">
        <w:t xml:space="preserve">or regional </w:t>
      </w:r>
      <w:r>
        <w:t>level for households to depict the effect of the proposed interventions to the society and economy.</w:t>
      </w:r>
    </w:p>
    <w:p w14:paraId="41D82E79" w14:textId="77777777" w:rsidR="00445D98" w:rsidRDefault="00445D98" w:rsidP="00445D98">
      <w:pPr>
        <w:pStyle w:val="Heading3"/>
      </w:pPr>
      <w:r>
        <w:t>Step 2: define the baseline Scenario</w:t>
      </w:r>
    </w:p>
    <w:p w14:paraId="1D7BB70B" w14:textId="4994393B" w:rsidR="00445D98" w:rsidRDefault="00445D98" w:rsidP="00445D98">
      <w:r>
        <w:t xml:space="preserve">The baseline Scenario is the investment on the supply side for the expansion of fossil </w:t>
      </w:r>
      <w:r w:rsidR="00363E3D">
        <w:t xml:space="preserve">fuels </w:t>
      </w:r>
      <w:r>
        <w:t>and the current energy efficient technologies in the buildings.</w:t>
      </w:r>
    </w:p>
    <w:p w14:paraId="2E29E7BB" w14:textId="77777777" w:rsidR="00445D98" w:rsidRDefault="00445D98" w:rsidP="00445D98">
      <w:pPr>
        <w:pStyle w:val="Heading3"/>
      </w:pPr>
      <w:r>
        <w:t>Step 3: specify the alternative Scenarios</w:t>
      </w:r>
    </w:p>
    <w:p w14:paraId="18ABB665" w14:textId="77777777" w:rsidR="00445D98" w:rsidRDefault="00445D98" w:rsidP="00445D98">
      <w:r>
        <w:t>The Scenarios 1 to 4 are the alternative Scenarios. The energy efficient equipment/technologies are assessed within the alternative Scenario and the existing equipment/technology within the baseline Scenario.</w:t>
      </w:r>
    </w:p>
    <w:p w14:paraId="0E8102C8" w14:textId="77777777" w:rsidR="00445D98" w:rsidRDefault="00445D98" w:rsidP="00445D98">
      <w:pPr>
        <w:pStyle w:val="Heading3"/>
      </w:pPr>
      <w:r>
        <w:t>Step 4: Identify and quantify the positive and negative externalities</w:t>
      </w:r>
    </w:p>
    <w:p w14:paraId="06546E14" w14:textId="77777777" w:rsidR="00445D98" w:rsidRDefault="00445D98" w:rsidP="00445D98">
      <w:r>
        <w:t xml:space="preserve">To this context the quantification of either positive/negative externalities is performed to integrate into the analysis various social and environmental criteria, which affect the social welfare. </w:t>
      </w:r>
    </w:p>
    <w:p w14:paraId="700FAA50" w14:textId="77777777" w:rsidR="00445D98" w:rsidRDefault="00445D98" w:rsidP="007D6D01">
      <w:pPr>
        <w:pStyle w:val="Heading4"/>
      </w:pPr>
      <w:r>
        <w:t>External costs and benefits</w:t>
      </w:r>
    </w:p>
    <w:p w14:paraId="2405AFFB" w14:textId="77777777" w:rsidR="00445D98" w:rsidRDefault="00445D98" w:rsidP="00445D98">
      <w:r w:rsidRPr="00445D98">
        <w:rPr>
          <w:i/>
          <w:iCs/>
        </w:rPr>
        <w:t>External costs/negative externality.</w:t>
      </w:r>
      <w:r>
        <w:t xml:space="preserve"> A cost that a transaction or activity imposes on a party, who is not part of the transaction or activity. Specifically, it is the cost or benefit that affects a party, who did not choose to incur that cost or benefit. For instance, electricity generation creates pollution that imposes costs on citizens, or the energy consumed in a building or in a car creates pollution that imposes costs on citizens. This cost is not included in the price of energy; thus, it is an external cost that should be taken into consideration when examining the social effectiveness of an investment.</w:t>
      </w:r>
    </w:p>
    <w:p w14:paraId="4867F1BF" w14:textId="08046C2B" w:rsidR="00445D98" w:rsidRDefault="00445D98" w:rsidP="00445D98">
      <w:r w:rsidRPr="00445D98">
        <w:rPr>
          <w:i/>
          <w:iCs/>
        </w:rPr>
        <w:t>External benefits.</w:t>
      </w:r>
      <w:r>
        <w:t xml:space="preserve"> Energy efficiency investments aim first at reducing energy consumption, but they have impact also to other challenges such as energy supply security, climate change, employment. In addition, the implementation of energy efficiency interventions can have other “non-energy”, socio-economic and environmental effects such as effects on social welfare or reduced pollution levels.  Four different types of externalities were assessed within the framework of the current study (Figure 2).</w:t>
      </w:r>
    </w:p>
    <w:p w14:paraId="32BEAA68" w14:textId="77777777" w:rsidR="00445D98" w:rsidRDefault="00445D98" w:rsidP="00445D98">
      <w:pPr>
        <w:keepNext/>
      </w:pPr>
      <w:r w:rsidRPr="00445D98">
        <w:rPr>
          <w:noProof/>
        </w:rPr>
        <w:drawing>
          <wp:inline distT="0" distB="0" distL="0" distR="0" wp14:anchorId="35C7531D" wp14:editId="3ACC45F8">
            <wp:extent cx="5486875" cy="1661304"/>
            <wp:effectExtent l="0" t="0" r="0" b="0"/>
            <wp:docPr id="1759843733"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843733" name="Picture 1" descr="A diagram of a diagram&#10;&#10;Description automatically generated with medium confidence"/>
                    <pic:cNvPicPr/>
                  </pic:nvPicPr>
                  <pic:blipFill>
                    <a:blip r:embed="rId12"/>
                    <a:stretch>
                      <a:fillRect/>
                    </a:stretch>
                  </pic:blipFill>
                  <pic:spPr>
                    <a:xfrm>
                      <a:off x="0" y="0"/>
                      <a:ext cx="5486875" cy="1661304"/>
                    </a:xfrm>
                    <a:prstGeom prst="rect">
                      <a:avLst/>
                    </a:prstGeom>
                  </pic:spPr>
                </pic:pic>
              </a:graphicData>
            </a:graphic>
          </wp:inline>
        </w:drawing>
      </w:r>
    </w:p>
    <w:p w14:paraId="00292A70" w14:textId="59FACBA2" w:rsidR="00445D98" w:rsidRDefault="00445D98" w:rsidP="00445D98">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E70065">
        <w:t>Selected types of externalities within the context of the CBA</w:t>
      </w:r>
    </w:p>
    <w:p w14:paraId="3C2F665B" w14:textId="5FB9608A" w:rsidR="00445D98" w:rsidRDefault="00445D98" w:rsidP="00445D98">
      <w:r w:rsidRPr="00445D98">
        <w:lastRenderedPageBreak/>
        <w:t>The methodological approach, which was utilized for each type of externality separately, is described briefly in Table 3.</w:t>
      </w:r>
    </w:p>
    <w:p w14:paraId="60A327AF" w14:textId="7903C174" w:rsidR="00445D98" w:rsidRDefault="00445D98" w:rsidP="00445D98">
      <w:pPr>
        <w:pStyle w:val="Caption"/>
        <w:keepNext/>
      </w:pPr>
      <w:r>
        <w:t xml:space="preserve">Table </w:t>
      </w:r>
      <w:r>
        <w:fldChar w:fldCharType="begin"/>
      </w:r>
      <w:r>
        <w:instrText xml:space="preserve"> SEQ Table \* ARABIC </w:instrText>
      </w:r>
      <w:r>
        <w:fldChar w:fldCharType="separate"/>
      </w:r>
      <w:r w:rsidR="00843A57">
        <w:rPr>
          <w:noProof/>
        </w:rPr>
        <w:t>3</w:t>
      </w:r>
      <w:r>
        <w:fldChar w:fldCharType="end"/>
      </w:r>
      <w:r>
        <w:t xml:space="preserve">: </w:t>
      </w:r>
      <w:r w:rsidRPr="002B4761">
        <w:t>Types of externalities and their descriptions (References: Alberici et al.</w:t>
      </w:r>
      <w:r>
        <w:rPr>
          <w:rStyle w:val="FootnoteReference"/>
        </w:rPr>
        <w:footnoteReference w:id="3"/>
      </w:r>
      <w:r>
        <w:t xml:space="preserve"> </w:t>
      </w:r>
      <w:r w:rsidRPr="002B4761">
        <w:t xml:space="preserve"> and 2014, Russell et al., 2015</w:t>
      </w:r>
      <w:r>
        <w:rPr>
          <w:rStyle w:val="FootnoteReference"/>
        </w:rPr>
        <w:footnoteReference w:id="4"/>
      </w:r>
      <w:r w:rsidRPr="002B4761">
        <w:t>)</w:t>
      </w:r>
    </w:p>
    <w:tbl>
      <w:tblPr>
        <w:tblStyle w:val="Plain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433"/>
      </w:tblGrid>
      <w:tr w:rsidR="00445D98" w:rsidRPr="00FC0EC2" w14:paraId="2B7DAE3D" w14:textId="77777777" w:rsidTr="00445D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shd w:val="clear" w:color="auto" w:fill="auto"/>
          </w:tcPr>
          <w:p w14:paraId="7F170967" w14:textId="77777777" w:rsidR="00445D98" w:rsidRPr="00FC0EC2" w:rsidRDefault="00445D98" w:rsidP="00085DAB">
            <w:pPr>
              <w:spacing w:before="120" w:after="120"/>
              <w:rPr>
                <w:rFonts w:asciiTheme="minorBidi" w:hAnsiTheme="minorBidi"/>
                <w:sz w:val="20"/>
                <w:szCs w:val="21"/>
              </w:rPr>
            </w:pPr>
            <w:r w:rsidRPr="00FC0EC2">
              <w:rPr>
                <w:rFonts w:asciiTheme="minorBidi" w:hAnsiTheme="minorBidi"/>
                <w:sz w:val="20"/>
                <w:szCs w:val="21"/>
              </w:rPr>
              <w:t>Categories</w:t>
            </w:r>
          </w:p>
        </w:tc>
        <w:tc>
          <w:tcPr>
            <w:tcW w:w="7433" w:type="dxa"/>
            <w:shd w:val="clear" w:color="auto" w:fill="auto"/>
          </w:tcPr>
          <w:p w14:paraId="31D09F58" w14:textId="77777777" w:rsidR="00445D98" w:rsidRPr="00FC0EC2" w:rsidRDefault="00445D98" w:rsidP="00085DA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Description</w:t>
            </w:r>
          </w:p>
        </w:tc>
      </w:tr>
      <w:tr w:rsidR="00445D98" w:rsidRPr="00FC0EC2" w14:paraId="18788E25" w14:textId="77777777" w:rsidTr="00445D98">
        <w:trPr>
          <w:cnfStyle w:val="000000100000" w:firstRow="0" w:lastRow="0" w:firstColumn="0" w:lastColumn="0" w:oddVBand="0" w:evenVBand="0" w:oddHBand="1" w:evenHBand="0" w:firstRowFirstColumn="0" w:firstRowLastColumn="0" w:lastRowFirstColumn="0" w:lastRowLastColumn="0"/>
          <w:trHeight w:val="2113"/>
        </w:trPr>
        <w:tc>
          <w:tcPr>
            <w:cnfStyle w:val="001000000000" w:firstRow="0" w:lastRow="0" w:firstColumn="1" w:lastColumn="0" w:oddVBand="0" w:evenVBand="0" w:oddHBand="0" w:evenHBand="0" w:firstRowFirstColumn="0" w:firstRowLastColumn="0" w:lastRowFirstColumn="0" w:lastRowLastColumn="0"/>
            <w:tcW w:w="1583" w:type="dxa"/>
            <w:shd w:val="clear" w:color="auto" w:fill="auto"/>
          </w:tcPr>
          <w:p w14:paraId="0F9227A4" w14:textId="77777777" w:rsidR="00445D98" w:rsidRPr="00FC0EC2" w:rsidRDefault="00445D98" w:rsidP="00085DAB">
            <w:pPr>
              <w:spacing w:before="120" w:after="120"/>
              <w:rPr>
                <w:rFonts w:asciiTheme="minorBidi" w:hAnsiTheme="minorBidi"/>
                <w:sz w:val="20"/>
                <w:szCs w:val="21"/>
              </w:rPr>
            </w:pPr>
            <w:r w:rsidRPr="00FC0EC2">
              <w:rPr>
                <w:rFonts w:asciiTheme="minorBidi" w:hAnsiTheme="minorBidi"/>
                <w:sz w:val="20"/>
                <w:szCs w:val="21"/>
              </w:rPr>
              <w:t>Environmental and health externalities</w:t>
            </w:r>
          </w:p>
        </w:tc>
        <w:tc>
          <w:tcPr>
            <w:tcW w:w="7433" w:type="dxa"/>
            <w:shd w:val="clear" w:color="auto" w:fill="auto"/>
          </w:tcPr>
          <w:p w14:paraId="75076B02" w14:textId="77777777"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The environmental and health externalities are differentiated for the various forms of energy carriers and technologies according to the pollutants emitted within the whole life cycle. Various studies attempted to estimate the environmental and health externalities of the RES and energy efficiency technologies. </w:t>
            </w:r>
          </w:p>
          <w:p w14:paraId="38A120EA" w14:textId="308B8C3F"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The calculation of the environmental and health costs and benefits was carried out considering the technical characteristics of the implemented interventions, such as, final energy consumption, insulation levels for each building separately. The data per </w:t>
            </w:r>
            <w:r w:rsidR="0091298C">
              <w:rPr>
                <w:rFonts w:asciiTheme="minorBidi" w:hAnsiTheme="minorBidi"/>
                <w:sz w:val="20"/>
                <w:szCs w:val="21"/>
              </w:rPr>
              <w:t>type of technology</w:t>
            </w:r>
            <w:r w:rsidRPr="00FC0EC2">
              <w:rPr>
                <w:rFonts w:asciiTheme="minorBidi" w:hAnsiTheme="minorBidi"/>
                <w:sz w:val="20"/>
                <w:szCs w:val="21"/>
              </w:rPr>
              <w:t xml:space="preserve"> is provided in Table 4.</w:t>
            </w:r>
          </w:p>
        </w:tc>
      </w:tr>
      <w:tr w:rsidR="00445D98" w:rsidRPr="00FC0EC2" w14:paraId="74FD5BC8" w14:textId="77777777" w:rsidTr="00445D98">
        <w:tc>
          <w:tcPr>
            <w:cnfStyle w:val="001000000000" w:firstRow="0" w:lastRow="0" w:firstColumn="1" w:lastColumn="0" w:oddVBand="0" w:evenVBand="0" w:oddHBand="0" w:evenHBand="0" w:firstRowFirstColumn="0" w:firstRowLastColumn="0" w:lastRowFirstColumn="0" w:lastRowLastColumn="0"/>
            <w:tcW w:w="1583" w:type="dxa"/>
            <w:shd w:val="clear" w:color="auto" w:fill="auto"/>
          </w:tcPr>
          <w:p w14:paraId="63F1F2D0" w14:textId="77777777" w:rsidR="00445D98" w:rsidRPr="00FC0EC2" w:rsidRDefault="00445D98" w:rsidP="00085DAB">
            <w:pPr>
              <w:spacing w:before="120" w:after="120"/>
              <w:rPr>
                <w:rFonts w:asciiTheme="minorBidi" w:hAnsiTheme="minorBidi"/>
                <w:sz w:val="20"/>
                <w:szCs w:val="21"/>
              </w:rPr>
            </w:pPr>
            <w:r w:rsidRPr="00FC0EC2">
              <w:rPr>
                <w:rFonts w:asciiTheme="minorBidi" w:hAnsiTheme="minorBidi"/>
                <w:sz w:val="20"/>
                <w:szCs w:val="21"/>
              </w:rPr>
              <w:t>Macroeconomic effects</w:t>
            </w:r>
          </w:p>
        </w:tc>
        <w:tc>
          <w:tcPr>
            <w:tcW w:w="7433" w:type="dxa"/>
            <w:shd w:val="clear" w:color="auto" w:fill="auto"/>
          </w:tcPr>
          <w:p w14:paraId="53FCF971" w14:textId="7777777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The quantification of the macroeconomic effects was performed considering the results of a study, which was conducted by Cambridge Econometrics to provide estimates of the multiple benefits of energy savings for the European citizens and the economy that are associated with different levels of the 2030 EU energy efficiency target.</w:t>
            </w:r>
          </w:p>
          <w:p w14:paraId="2AFA42C3" w14:textId="3A021C80"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Coefficients were estimated linking the reduction in energy consumption (in Mtoe) to each of the delivered benefits. It should be noted that the coefficients represent average coefficients across the Scenarios and assume </w:t>
            </w:r>
            <w:r w:rsidR="002538A9">
              <w:rPr>
                <w:rFonts w:asciiTheme="minorBidi" w:hAnsiTheme="minorBidi"/>
                <w:sz w:val="20"/>
                <w:szCs w:val="21"/>
              </w:rPr>
              <w:t>a</w:t>
            </w:r>
            <w:r w:rsidRPr="00FC0EC2">
              <w:rPr>
                <w:rFonts w:asciiTheme="minorBidi" w:hAnsiTheme="minorBidi"/>
                <w:sz w:val="20"/>
                <w:szCs w:val="21"/>
              </w:rPr>
              <w:t xml:space="preserve"> linear relationship between energy consumption and benefits.</w:t>
            </w:r>
          </w:p>
          <w:p w14:paraId="5DDFFD18" w14:textId="7777777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The unitary estimation for the resulted increase of the GDP due to the realized energy efficiency interventions was considered equal to 0.93 billion EUR/Mtoe.</w:t>
            </w:r>
          </w:p>
        </w:tc>
      </w:tr>
      <w:tr w:rsidR="00445D98" w:rsidRPr="00FC0EC2" w14:paraId="368B8771" w14:textId="77777777" w:rsidTr="00445D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shd w:val="clear" w:color="auto" w:fill="auto"/>
          </w:tcPr>
          <w:p w14:paraId="36B6EE3C" w14:textId="77777777" w:rsidR="00445D98" w:rsidRPr="00FC0EC2" w:rsidRDefault="00445D98" w:rsidP="00085DAB">
            <w:pPr>
              <w:spacing w:before="120" w:after="120"/>
              <w:rPr>
                <w:rFonts w:asciiTheme="minorBidi" w:hAnsiTheme="minorBidi"/>
                <w:sz w:val="20"/>
                <w:szCs w:val="21"/>
              </w:rPr>
            </w:pPr>
            <w:r w:rsidRPr="00FC0EC2">
              <w:rPr>
                <w:rFonts w:asciiTheme="minorBidi" w:hAnsiTheme="minorBidi"/>
                <w:sz w:val="20"/>
                <w:szCs w:val="21"/>
              </w:rPr>
              <w:t>Improved comfort level</w:t>
            </w:r>
          </w:p>
        </w:tc>
        <w:tc>
          <w:tcPr>
            <w:tcW w:w="7433" w:type="dxa"/>
            <w:shd w:val="clear" w:color="auto" w:fill="auto"/>
          </w:tcPr>
          <w:p w14:paraId="22DE40E6" w14:textId="73EF24C3"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Previous studies indicated that the energy efficiency investments considerably improve the households’ comfort levels. Other multiple benefits consist indicatively of the increased home durability, less maintenance, reduce</w:t>
            </w:r>
            <w:r w:rsidR="005C42B2">
              <w:rPr>
                <w:rFonts w:asciiTheme="minorBidi" w:hAnsiTheme="minorBidi"/>
                <w:sz w:val="20"/>
                <w:szCs w:val="21"/>
              </w:rPr>
              <w:t>d</w:t>
            </w:r>
            <w:r w:rsidRPr="00FC0EC2">
              <w:rPr>
                <w:rFonts w:asciiTheme="minorBidi" w:hAnsiTheme="minorBidi"/>
                <w:sz w:val="20"/>
                <w:szCs w:val="21"/>
              </w:rPr>
              <w:t xml:space="preserve"> noise levels, improved safety, such as fewer fires, reduced CO</w:t>
            </w:r>
            <w:r w:rsidRPr="00FC0EC2">
              <w:rPr>
                <w:rFonts w:asciiTheme="minorBidi" w:hAnsiTheme="minorBidi"/>
                <w:sz w:val="20"/>
                <w:szCs w:val="21"/>
                <w:vertAlign w:val="subscript"/>
              </w:rPr>
              <w:t>2</w:t>
            </w:r>
            <w:r w:rsidRPr="00FC0EC2">
              <w:rPr>
                <w:rFonts w:asciiTheme="minorBidi" w:hAnsiTheme="minorBidi"/>
                <w:sz w:val="20"/>
                <w:szCs w:val="21"/>
              </w:rPr>
              <w:t xml:space="preserve"> poisoning.</w:t>
            </w:r>
          </w:p>
          <w:p w14:paraId="436C8DDF" w14:textId="27B125A3" w:rsidR="00445D98" w:rsidRPr="00FC0EC2" w:rsidRDefault="00445D98" w:rsidP="00085DA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A percentage of the cost savings is considered as the most effective metric, which can reach </w:t>
            </w:r>
            <w:r w:rsidR="005C42B2">
              <w:rPr>
                <w:rFonts w:asciiTheme="minorBidi" w:hAnsiTheme="minorBidi"/>
                <w:sz w:val="20"/>
                <w:szCs w:val="21"/>
              </w:rPr>
              <w:t xml:space="preserve">up </w:t>
            </w:r>
            <w:r w:rsidRPr="00FC0EC2">
              <w:rPr>
                <w:rFonts w:asciiTheme="minorBidi" w:hAnsiTheme="minorBidi"/>
                <w:sz w:val="20"/>
                <w:szCs w:val="21"/>
              </w:rPr>
              <w:t xml:space="preserve">to 25% of energy savings in the case that all multiple benefits </w:t>
            </w:r>
            <w:r w:rsidR="005C42B2">
              <w:rPr>
                <w:rFonts w:asciiTheme="minorBidi" w:hAnsiTheme="minorBidi"/>
                <w:sz w:val="20"/>
                <w:szCs w:val="21"/>
              </w:rPr>
              <w:t>are</w:t>
            </w:r>
            <w:r w:rsidRPr="00FC0EC2">
              <w:rPr>
                <w:rFonts w:asciiTheme="minorBidi" w:hAnsiTheme="minorBidi"/>
                <w:sz w:val="20"/>
                <w:szCs w:val="21"/>
              </w:rPr>
              <w:t xml:space="preserve"> quantified. The respective value for the current </w:t>
            </w:r>
            <w:r w:rsidR="0064767B">
              <w:rPr>
                <w:rFonts w:asciiTheme="minorBidi" w:hAnsiTheme="minorBidi"/>
                <w:sz w:val="20"/>
                <w:szCs w:val="21"/>
              </w:rPr>
              <w:t>tool</w:t>
            </w:r>
            <w:r w:rsidRPr="00FC0EC2">
              <w:rPr>
                <w:rFonts w:asciiTheme="minorBidi" w:hAnsiTheme="minorBidi"/>
                <w:sz w:val="20"/>
                <w:szCs w:val="21"/>
              </w:rPr>
              <w:t xml:space="preserve"> was considered equal up to 10% of the achieved cost savings indicating a rather conservative estimate. The cost savings are resulted by the reduction of the operating</w:t>
            </w:r>
            <w:r w:rsidR="00F421BA">
              <w:rPr>
                <w:rFonts w:asciiTheme="minorBidi" w:hAnsiTheme="minorBidi"/>
                <w:sz w:val="20"/>
                <w:szCs w:val="21"/>
              </w:rPr>
              <w:t xml:space="preserve">, </w:t>
            </w:r>
            <w:r w:rsidRPr="00FC0EC2">
              <w:rPr>
                <w:rFonts w:asciiTheme="minorBidi" w:hAnsiTheme="minorBidi"/>
                <w:sz w:val="20"/>
                <w:szCs w:val="21"/>
              </w:rPr>
              <w:t>maintenance and fuel expenses.</w:t>
            </w:r>
          </w:p>
        </w:tc>
      </w:tr>
      <w:tr w:rsidR="00445D98" w:rsidRPr="00FC0EC2" w14:paraId="308472E8" w14:textId="77777777" w:rsidTr="00445D98">
        <w:tc>
          <w:tcPr>
            <w:cnfStyle w:val="001000000000" w:firstRow="0" w:lastRow="0" w:firstColumn="1" w:lastColumn="0" w:oddVBand="0" w:evenVBand="0" w:oddHBand="0" w:evenHBand="0" w:firstRowFirstColumn="0" w:firstRowLastColumn="0" w:lastRowFirstColumn="0" w:lastRowLastColumn="0"/>
            <w:tcW w:w="1583" w:type="dxa"/>
            <w:shd w:val="clear" w:color="auto" w:fill="auto"/>
          </w:tcPr>
          <w:p w14:paraId="21D7D551" w14:textId="77777777" w:rsidR="00445D98" w:rsidRPr="00FC0EC2" w:rsidRDefault="00445D98" w:rsidP="00085DAB">
            <w:pPr>
              <w:spacing w:before="120" w:after="120"/>
              <w:rPr>
                <w:rFonts w:asciiTheme="minorBidi" w:hAnsiTheme="minorBidi"/>
                <w:sz w:val="20"/>
                <w:szCs w:val="21"/>
              </w:rPr>
            </w:pPr>
            <w:r w:rsidRPr="00FC0EC2">
              <w:rPr>
                <w:rFonts w:asciiTheme="minorBidi" w:hAnsiTheme="minorBidi"/>
                <w:sz w:val="20"/>
                <w:szCs w:val="21"/>
              </w:rPr>
              <w:t>Increased the building value</w:t>
            </w:r>
          </w:p>
        </w:tc>
        <w:tc>
          <w:tcPr>
            <w:tcW w:w="7433" w:type="dxa"/>
            <w:shd w:val="clear" w:color="auto" w:fill="auto"/>
          </w:tcPr>
          <w:p w14:paraId="701F410A" w14:textId="59417F94"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sz w:val="20"/>
                <w:szCs w:val="21"/>
              </w:rPr>
            </w:pPr>
            <w:r w:rsidRPr="00FC0EC2">
              <w:rPr>
                <w:rFonts w:asciiTheme="minorBidi" w:hAnsiTheme="minorBidi"/>
                <w:sz w:val="20"/>
                <w:szCs w:val="21"/>
              </w:rPr>
              <w:t xml:space="preserve">The increasing building value is </w:t>
            </w:r>
            <w:r w:rsidR="00F421BA">
              <w:rPr>
                <w:rFonts w:asciiTheme="minorBidi" w:hAnsiTheme="minorBidi"/>
                <w:sz w:val="20"/>
                <w:szCs w:val="21"/>
              </w:rPr>
              <w:t xml:space="preserve">also </w:t>
            </w:r>
            <w:r w:rsidRPr="00FC0EC2">
              <w:rPr>
                <w:rFonts w:asciiTheme="minorBidi" w:hAnsiTheme="minorBidi"/>
                <w:sz w:val="20"/>
                <w:szCs w:val="21"/>
              </w:rPr>
              <w:t>considered as another essential impact. Specifically, the increased value of the renovated buildings can be estimated as the ratio of the cost savings due to the reduction of the operating</w:t>
            </w:r>
            <w:r w:rsidR="00972C91">
              <w:rPr>
                <w:rFonts w:asciiTheme="minorBidi" w:hAnsiTheme="minorBidi"/>
                <w:sz w:val="20"/>
                <w:szCs w:val="21"/>
              </w:rPr>
              <w:t xml:space="preserve">, </w:t>
            </w:r>
            <w:r w:rsidRPr="00FC0EC2">
              <w:rPr>
                <w:rFonts w:asciiTheme="minorBidi" w:hAnsiTheme="minorBidi"/>
                <w:sz w:val="20"/>
                <w:szCs w:val="21"/>
              </w:rPr>
              <w:t>maintenance and fuel expenses to the capital rate of the building. The cost savings w</w:t>
            </w:r>
            <w:r w:rsidR="00972C91">
              <w:rPr>
                <w:rFonts w:asciiTheme="minorBidi" w:hAnsiTheme="minorBidi"/>
                <w:sz w:val="20"/>
                <w:szCs w:val="21"/>
              </w:rPr>
              <w:t>ere</w:t>
            </w:r>
            <w:r w:rsidRPr="00FC0EC2">
              <w:rPr>
                <w:rFonts w:asciiTheme="minorBidi" w:hAnsiTheme="minorBidi"/>
                <w:sz w:val="20"/>
                <w:szCs w:val="21"/>
              </w:rPr>
              <w:t xml:space="preserve"> calculated for each building separately, while the capital rate was considered equal to 3% for the case of the households taking into consideration that the current analysis is performed within the framework of the Social CBA.</w:t>
            </w:r>
          </w:p>
          <w:p w14:paraId="7A0F1ACF" w14:textId="77B26207" w:rsidR="00445D98" w:rsidRPr="00FC0EC2" w:rsidRDefault="00445D98" w:rsidP="00085DAB">
            <w:pPr>
              <w:spacing w:before="120" w:after="120"/>
              <w:cnfStyle w:val="000000000000" w:firstRow="0" w:lastRow="0" w:firstColumn="0" w:lastColumn="0" w:oddVBand="0" w:evenVBand="0" w:oddHBand="0" w:evenHBand="0" w:firstRowFirstColumn="0" w:firstRowLastColumn="0" w:lastRowFirstColumn="0" w:lastRowLastColumn="0"/>
              <w:rPr>
                <w:rFonts w:asciiTheme="minorBidi" w:hAnsiTheme="minorBidi"/>
                <w:i/>
                <w:sz w:val="20"/>
                <w:szCs w:val="21"/>
              </w:rPr>
            </w:pPr>
            <w:r w:rsidRPr="00FC0EC2">
              <w:rPr>
                <w:rFonts w:asciiTheme="minorBidi" w:hAnsiTheme="minorBidi"/>
                <w:i/>
                <w:sz w:val="20"/>
                <w:szCs w:val="21"/>
              </w:rPr>
              <w:t>Note: The triggered impact by the increased value of the renovated buildings was considered only in the Scenarios, which foresee the implementation of energy efficiency interventions in the building envelope, while the improved com</w:t>
            </w:r>
            <w:r w:rsidR="007978F2">
              <w:rPr>
                <w:rFonts w:asciiTheme="minorBidi" w:hAnsiTheme="minorBidi"/>
                <w:i/>
                <w:sz w:val="20"/>
                <w:szCs w:val="21"/>
              </w:rPr>
              <w:t>fort</w:t>
            </w:r>
            <w:r w:rsidRPr="00FC0EC2">
              <w:rPr>
                <w:rFonts w:asciiTheme="minorBidi" w:hAnsiTheme="minorBidi"/>
                <w:i/>
                <w:sz w:val="20"/>
                <w:szCs w:val="21"/>
              </w:rPr>
              <w:t xml:space="preserve"> levels were assessed in the case of the individual installation of heat pumps to avoid overlaps between the two types of externalities.</w:t>
            </w:r>
          </w:p>
        </w:tc>
      </w:tr>
    </w:tbl>
    <w:p w14:paraId="14D0CD64" w14:textId="77777777" w:rsidR="00445D98" w:rsidRDefault="00445D98" w:rsidP="00445D98"/>
    <w:p w14:paraId="7D99C330" w14:textId="77777777" w:rsidR="008771A5" w:rsidRDefault="008771A5" w:rsidP="00445D98"/>
    <w:p w14:paraId="123878E5" w14:textId="474EEE84" w:rsidR="008771A5" w:rsidRDefault="008771A5" w:rsidP="00445D98">
      <w:r w:rsidRPr="008771A5">
        <w:lastRenderedPageBreak/>
        <w:t xml:space="preserve">Table 5 shows the types of external benefits and costs for each Scenario. For the external costs and benefits, the data is extracted from a report by Ecofys. Ecofys investigated the external costs (euro/MWH) per type of technology and the report </w:t>
      </w:r>
      <w:r w:rsidR="00DE2CD8">
        <w:t>wa</w:t>
      </w:r>
      <w:r w:rsidRPr="008771A5">
        <w:t xml:space="preserve">s published by </w:t>
      </w:r>
      <w:r w:rsidR="00DE2CD8">
        <w:t xml:space="preserve">the </w:t>
      </w:r>
      <w:r w:rsidRPr="008771A5">
        <w:t>EU commission. These external costs are presented below</w:t>
      </w:r>
      <w:r>
        <w:rPr>
          <w:rStyle w:val="FootnoteReference"/>
        </w:rPr>
        <w:footnoteReference w:id="5"/>
      </w:r>
      <w:r w:rsidRPr="008771A5">
        <w:t>.</w:t>
      </w:r>
    </w:p>
    <w:p w14:paraId="460F8630" w14:textId="3210B335" w:rsidR="008771A5" w:rsidRDefault="008771A5" w:rsidP="008771A5">
      <w:pPr>
        <w:pStyle w:val="Caption"/>
        <w:keepNext/>
      </w:pPr>
      <w:r>
        <w:t xml:space="preserve">Table </w:t>
      </w:r>
      <w:r>
        <w:fldChar w:fldCharType="begin"/>
      </w:r>
      <w:r>
        <w:instrText xml:space="preserve"> SEQ Table \* ARABIC </w:instrText>
      </w:r>
      <w:r>
        <w:fldChar w:fldCharType="separate"/>
      </w:r>
      <w:r w:rsidR="00843A57">
        <w:rPr>
          <w:noProof/>
        </w:rPr>
        <w:t>4</w:t>
      </w:r>
      <w:r>
        <w:fldChar w:fldCharType="end"/>
      </w:r>
      <w:r>
        <w:t xml:space="preserve">: </w:t>
      </w:r>
      <w:r w:rsidRPr="00544C20">
        <w:t>external costs of using different types of energy efficient technologies</w:t>
      </w:r>
    </w:p>
    <w:tbl>
      <w:tblPr>
        <w:tblStyle w:val="PlainTable111"/>
        <w:tblW w:w="10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94"/>
        <w:gridCol w:w="794"/>
        <w:gridCol w:w="794"/>
        <w:gridCol w:w="794"/>
        <w:gridCol w:w="794"/>
        <w:gridCol w:w="794"/>
        <w:gridCol w:w="794"/>
        <w:gridCol w:w="794"/>
        <w:gridCol w:w="794"/>
        <w:gridCol w:w="794"/>
        <w:gridCol w:w="794"/>
      </w:tblGrid>
      <w:tr w:rsidR="008771A5" w:rsidRPr="00FC0EC2" w14:paraId="56B08AA7" w14:textId="77777777" w:rsidTr="008771A5">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794" w:type="dxa"/>
            <w:shd w:val="clear" w:color="auto" w:fill="auto"/>
            <w:noWrap/>
            <w:hideMark/>
          </w:tcPr>
          <w:p w14:paraId="51003032" w14:textId="77777777" w:rsidR="008771A5" w:rsidRPr="00FC0EC2" w:rsidRDefault="008771A5" w:rsidP="00085DAB">
            <w:pPr>
              <w:rPr>
                <w:rFonts w:asciiTheme="minorBidi" w:hAnsiTheme="minorBidi" w:cstheme="minorBidi"/>
                <w:color w:val="000000"/>
                <w:sz w:val="16"/>
                <w:szCs w:val="16"/>
              </w:rPr>
            </w:pPr>
            <w:r w:rsidRPr="00FC0EC2">
              <w:rPr>
                <w:rFonts w:asciiTheme="minorBidi" w:hAnsiTheme="minorBidi" w:cstheme="minorBidi"/>
                <w:color w:val="000000"/>
                <w:sz w:val="16"/>
                <w:szCs w:val="16"/>
              </w:rPr>
              <w:t>Data</w:t>
            </w:r>
          </w:p>
        </w:tc>
        <w:tc>
          <w:tcPr>
            <w:tcW w:w="794" w:type="dxa"/>
            <w:shd w:val="clear" w:color="auto" w:fill="auto"/>
            <w:noWrap/>
            <w:hideMark/>
          </w:tcPr>
          <w:p w14:paraId="0F45C95B"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Oil boiler-existing</w:t>
            </w:r>
          </w:p>
        </w:tc>
        <w:tc>
          <w:tcPr>
            <w:tcW w:w="794" w:type="dxa"/>
            <w:shd w:val="clear" w:color="auto" w:fill="auto"/>
            <w:noWrap/>
            <w:hideMark/>
          </w:tcPr>
          <w:p w14:paraId="034A5DB6"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Oil boiler-new</w:t>
            </w:r>
          </w:p>
        </w:tc>
        <w:tc>
          <w:tcPr>
            <w:tcW w:w="794" w:type="dxa"/>
            <w:shd w:val="clear" w:color="auto" w:fill="auto"/>
            <w:noWrap/>
            <w:hideMark/>
          </w:tcPr>
          <w:p w14:paraId="56F9C4B1"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NG boiler-existing</w:t>
            </w:r>
          </w:p>
        </w:tc>
        <w:tc>
          <w:tcPr>
            <w:tcW w:w="794" w:type="dxa"/>
            <w:shd w:val="clear" w:color="auto" w:fill="auto"/>
            <w:noWrap/>
            <w:hideMark/>
          </w:tcPr>
          <w:p w14:paraId="46FB8F46"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NG boiler-new</w:t>
            </w:r>
          </w:p>
        </w:tc>
        <w:tc>
          <w:tcPr>
            <w:tcW w:w="794" w:type="dxa"/>
            <w:shd w:val="clear" w:color="auto" w:fill="auto"/>
            <w:noWrap/>
            <w:hideMark/>
          </w:tcPr>
          <w:p w14:paraId="3BB43A29"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Coal boiler-existing</w:t>
            </w:r>
          </w:p>
        </w:tc>
        <w:tc>
          <w:tcPr>
            <w:tcW w:w="794" w:type="dxa"/>
            <w:shd w:val="clear" w:color="auto" w:fill="auto"/>
            <w:noWrap/>
            <w:hideMark/>
          </w:tcPr>
          <w:p w14:paraId="0C28068C"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Biomass boiler-existing</w:t>
            </w:r>
          </w:p>
        </w:tc>
        <w:tc>
          <w:tcPr>
            <w:tcW w:w="794" w:type="dxa"/>
            <w:shd w:val="clear" w:color="auto" w:fill="auto"/>
            <w:noWrap/>
            <w:hideMark/>
          </w:tcPr>
          <w:p w14:paraId="768FDF8E"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Biomass boiler-new</w:t>
            </w:r>
          </w:p>
        </w:tc>
        <w:tc>
          <w:tcPr>
            <w:tcW w:w="794" w:type="dxa"/>
            <w:shd w:val="clear" w:color="auto" w:fill="auto"/>
            <w:noWrap/>
            <w:hideMark/>
          </w:tcPr>
          <w:p w14:paraId="08803B5B"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HP-existing</w:t>
            </w:r>
          </w:p>
        </w:tc>
        <w:tc>
          <w:tcPr>
            <w:tcW w:w="794" w:type="dxa"/>
            <w:shd w:val="clear" w:color="auto" w:fill="auto"/>
            <w:noWrap/>
            <w:hideMark/>
          </w:tcPr>
          <w:p w14:paraId="3A71D3C5"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HP-new</w:t>
            </w:r>
          </w:p>
        </w:tc>
        <w:tc>
          <w:tcPr>
            <w:tcW w:w="794" w:type="dxa"/>
            <w:shd w:val="clear" w:color="auto" w:fill="auto"/>
            <w:noWrap/>
            <w:hideMark/>
          </w:tcPr>
          <w:p w14:paraId="3BD611DF"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Electricity-current</w:t>
            </w:r>
          </w:p>
        </w:tc>
        <w:tc>
          <w:tcPr>
            <w:tcW w:w="794" w:type="dxa"/>
            <w:shd w:val="clear" w:color="auto" w:fill="auto"/>
            <w:noWrap/>
            <w:hideMark/>
          </w:tcPr>
          <w:p w14:paraId="1E7861AB"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PV-new</w:t>
            </w:r>
          </w:p>
        </w:tc>
        <w:tc>
          <w:tcPr>
            <w:tcW w:w="794" w:type="dxa"/>
            <w:shd w:val="clear" w:color="auto" w:fill="auto"/>
            <w:noWrap/>
            <w:hideMark/>
          </w:tcPr>
          <w:p w14:paraId="0B47A5CE"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sz w:val="16"/>
                <w:szCs w:val="16"/>
              </w:rPr>
            </w:pPr>
            <w:r w:rsidRPr="00FC0EC2">
              <w:rPr>
                <w:rFonts w:asciiTheme="minorBidi" w:hAnsiTheme="minorBidi" w:cstheme="minorBidi"/>
                <w:color w:val="000000"/>
                <w:sz w:val="16"/>
                <w:szCs w:val="16"/>
              </w:rPr>
              <w:t>Solar-new</w:t>
            </w:r>
          </w:p>
        </w:tc>
      </w:tr>
      <w:tr w:rsidR="008771A5" w:rsidRPr="00FC0EC2" w14:paraId="0973FA55" w14:textId="77777777" w:rsidTr="008771A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794" w:type="dxa"/>
            <w:shd w:val="clear" w:color="auto" w:fill="auto"/>
            <w:noWrap/>
            <w:hideMark/>
          </w:tcPr>
          <w:p w14:paraId="4DC4190F" w14:textId="77777777" w:rsidR="008771A5" w:rsidRPr="00FC0EC2" w:rsidRDefault="008771A5" w:rsidP="00085DAB">
            <w:pPr>
              <w:rPr>
                <w:rFonts w:asciiTheme="minorBidi" w:hAnsiTheme="minorBidi" w:cstheme="minorBidi"/>
                <w:b w:val="0"/>
                <w:color w:val="000000"/>
                <w:sz w:val="18"/>
                <w:szCs w:val="18"/>
              </w:rPr>
            </w:pPr>
            <w:r w:rsidRPr="00FC0EC2">
              <w:rPr>
                <w:rFonts w:asciiTheme="minorBidi" w:hAnsiTheme="minorBidi" w:cstheme="minorBidi"/>
                <w:b w:val="0"/>
                <w:color w:val="000000"/>
                <w:sz w:val="18"/>
                <w:szCs w:val="18"/>
              </w:rPr>
              <w:t>External cost (EUR/MWh)</w:t>
            </w:r>
          </w:p>
        </w:tc>
        <w:tc>
          <w:tcPr>
            <w:tcW w:w="794" w:type="dxa"/>
            <w:shd w:val="clear" w:color="auto" w:fill="auto"/>
            <w:noWrap/>
            <w:hideMark/>
          </w:tcPr>
          <w:p w14:paraId="77023FF8"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32</w:t>
            </w:r>
          </w:p>
        </w:tc>
        <w:tc>
          <w:tcPr>
            <w:tcW w:w="794" w:type="dxa"/>
            <w:shd w:val="clear" w:color="auto" w:fill="auto"/>
            <w:noWrap/>
            <w:hideMark/>
          </w:tcPr>
          <w:p w14:paraId="2C5D0009"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27.2</w:t>
            </w:r>
          </w:p>
        </w:tc>
        <w:tc>
          <w:tcPr>
            <w:tcW w:w="794" w:type="dxa"/>
            <w:shd w:val="clear" w:color="auto" w:fill="auto"/>
            <w:noWrap/>
            <w:hideMark/>
          </w:tcPr>
          <w:p w14:paraId="06D72553"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20</w:t>
            </w:r>
          </w:p>
        </w:tc>
        <w:tc>
          <w:tcPr>
            <w:tcW w:w="794" w:type="dxa"/>
            <w:shd w:val="clear" w:color="auto" w:fill="auto"/>
            <w:noWrap/>
            <w:hideMark/>
          </w:tcPr>
          <w:p w14:paraId="06BFA2A5"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17.9</w:t>
            </w:r>
          </w:p>
        </w:tc>
        <w:tc>
          <w:tcPr>
            <w:tcW w:w="794" w:type="dxa"/>
            <w:shd w:val="clear" w:color="auto" w:fill="auto"/>
            <w:noWrap/>
            <w:hideMark/>
          </w:tcPr>
          <w:p w14:paraId="00CF3DFB"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27.2</w:t>
            </w:r>
          </w:p>
        </w:tc>
        <w:tc>
          <w:tcPr>
            <w:tcW w:w="794" w:type="dxa"/>
            <w:shd w:val="clear" w:color="auto" w:fill="auto"/>
            <w:noWrap/>
            <w:hideMark/>
          </w:tcPr>
          <w:p w14:paraId="298975D7"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20</w:t>
            </w:r>
          </w:p>
        </w:tc>
        <w:tc>
          <w:tcPr>
            <w:tcW w:w="794" w:type="dxa"/>
            <w:shd w:val="clear" w:color="auto" w:fill="auto"/>
            <w:noWrap/>
            <w:hideMark/>
          </w:tcPr>
          <w:p w14:paraId="197A80AA"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11.2</w:t>
            </w:r>
          </w:p>
        </w:tc>
        <w:tc>
          <w:tcPr>
            <w:tcW w:w="794" w:type="dxa"/>
            <w:shd w:val="clear" w:color="auto" w:fill="auto"/>
            <w:noWrap/>
            <w:hideMark/>
          </w:tcPr>
          <w:p w14:paraId="0BA6CAA5"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23.5</w:t>
            </w:r>
          </w:p>
        </w:tc>
        <w:tc>
          <w:tcPr>
            <w:tcW w:w="794" w:type="dxa"/>
            <w:shd w:val="clear" w:color="auto" w:fill="auto"/>
            <w:noWrap/>
            <w:hideMark/>
          </w:tcPr>
          <w:p w14:paraId="18B8E5B6"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14.2</w:t>
            </w:r>
          </w:p>
        </w:tc>
        <w:tc>
          <w:tcPr>
            <w:tcW w:w="794" w:type="dxa"/>
            <w:shd w:val="clear" w:color="auto" w:fill="auto"/>
            <w:noWrap/>
            <w:hideMark/>
          </w:tcPr>
          <w:p w14:paraId="08513712"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48.5</w:t>
            </w:r>
          </w:p>
        </w:tc>
        <w:tc>
          <w:tcPr>
            <w:tcW w:w="794" w:type="dxa"/>
            <w:shd w:val="clear" w:color="auto" w:fill="auto"/>
            <w:noWrap/>
            <w:hideMark/>
          </w:tcPr>
          <w:p w14:paraId="2EBA755C"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14.1</w:t>
            </w:r>
          </w:p>
        </w:tc>
        <w:tc>
          <w:tcPr>
            <w:tcW w:w="794" w:type="dxa"/>
            <w:shd w:val="clear" w:color="auto" w:fill="auto"/>
            <w:noWrap/>
            <w:hideMark/>
          </w:tcPr>
          <w:p w14:paraId="42351503" w14:textId="77777777" w:rsidR="008771A5" w:rsidRPr="00FC0EC2" w:rsidRDefault="008771A5" w:rsidP="00085DAB">
            <w:pPr>
              <w:jc w:val="righ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18"/>
                <w:szCs w:val="18"/>
              </w:rPr>
            </w:pPr>
            <w:r w:rsidRPr="00FC0EC2">
              <w:rPr>
                <w:rFonts w:asciiTheme="minorBidi" w:hAnsiTheme="minorBidi" w:cstheme="minorBidi"/>
                <w:color w:val="000000"/>
                <w:sz w:val="18"/>
                <w:szCs w:val="18"/>
              </w:rPr>
              <w:t>9.6</w:t>
            </w:r>
          </w:p>
        </w:tc>
      </w:tr>
    </w:tbl>
    <w:p w14:paraId="60EBCC0E" w14:textId="77777777" w:rsidR="008771A5" w:rsidRDefault="008771A5" w:rsidP="00445D98"/>
    <w:p w14:paraId="152FA2E3" w14:textId="5F888B78" w:rsidR="008771A5" w:rsidRDefault="008771A5" w:rsidP="008771A5">
      <w:pPr>
        <w:pStyle w:val="Caption"/>
        <w:keepNext/>
      </w:pPr>
      <w:r>
        <w:t xml:space="preserve">Table </w:t>
      </w:r>
      <w:r>
        <w:fldChar w:fldCharType="begin"/>
      </w:r>
      <w:r>
        <w:instrText xml:space="preserve"> SEQ Table \* ARABIC </w:instrText>
      </w:r>
      <w:r>
        <w:fldChar w:fldCharType="separate"/>
      </w:r>
      <w:r w:rsidR="00843A57">
        <w:rPr>
          <w:noProof/>
        </w:rPr>
        <w:t>5</w:t>
      </w:r>
      <w:r>
        <w:fldChar w:fldCharType="end"/>
      </w:r>
      <w:r>
        <w:t xml:space="preserve">: </w:t>
      </w:r>
      <w:r w:rsidRPr="0063300C">
        <w:t>Summary of the external costs and benefits for all the Scenarios</w:t>
      </w:r>
    </w:p>
    <w:tbl>
      <w:tblPr>
        <w:tblStyle w:val="80"/>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3349"/>
        <w:gridCol w:w="3386"/>
      </w:tblGrid>
      <w:tr w:rsidR="008771A5" w:rsidRPr="00FC0EC2" w14:paraId="14AF573A" w14:textId="77777777" w:rsidTr="008771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2175A0D3" w14:textId="77777777" w:rsidR="008771A5" w:rsidRPr="00FC0EC2" w:rsidRDefault="008771A5" w:rsidP="00085DAB">
            <w:pPr>
              <w:spacing w:before="60" w:after="240"/>
              <w:rPr>
                <w:color w:val="095782"/>
                <w:sz w:val="22"/>
                <w:szCs w:val="22"/>
              </w:rPr>
            </w:pPr>
            <w:r w:rsidRPr="00FC0EC2">
              <w:rPr>
                <w:b w:val="0"/>
                <w:color w:val="095782"/>
                <w:sz w:val="22"/>
                <w:szCs w:val="22"/>
              </w:rPr>
              <w:t>Scenarios</w:t>
            </w:r>
          </w:p>
        </w:tc>
        <w:tc>
          <w:tcPr>
            <w:tcW w:w="3349" w:type="dxa"/>
            <w:shd w:val="clear" w:color="auto" w:fill="auto"/>
          </w:tcPr>
          <w:p w14:paraId="38A776A0" w14:textId="77777777" w:rsidR="008771A5" w:rsidRPr="00FC0EC2" w:rsidRDefault="008771A5" w:rsidP="00085DAB">
            <w:pPr>
              <w:spacing w:before="60" w:after="240"/>
              <w:cnfStyle w:val="100000000000" w:firstRow="1" w:lastRow="0" w:firstColumn="0" w:lastColumn="0" w:oddVBand="0" w:evenVBand="0" w:oddHBand="0" w:evenHBand="0" w:firstRowFirstColumn="0" w:firstRowLastColumn="0" w:lastRowFirstColumn="0" w:lastRowLastColumn="0"/>
              <w:rPr>
                <w:color w:val="095782"/>
                <w:sz w:val="22"/>
                <w:szCs w:val="22"/>
              </w:rPr>
            </w:pPr>
            <w:r w:rsidRPr="00FC0EC2">
              <w:rPr>
                <w:b w:val="0"/>
                <w:color w:val="095782"/>
                <w:sz w:val="22"/>
                <w:szCs w:val="22"/>
              </w:rPr>
              <w:t>External costs</w:t>
            </w:r>
          </w:p>
        </w:tc>
        <w:tc>
          <w:tcPr>
            <w:tcW w:w="3386" w:type="dxa"/>
            <w:shd w:val="clear" w:color="auto" w:fill="auto"/>
          </w:tcPr>
          <w:p w14:paraId="0B7EA5E7" w14:textId="77777777" w:rsidR="008771A5" w:rsidRPr="00FC0EC2" w:rsidRDefault="008771A5" w:rsidP="00085DAB">
            <w:pPr>
              <w:spacing w:before="60" w:after="240"/>
              <w:cnfStyle w:val="100000000000" w:firstRow="1" w:lastRow="0" w:firstColumn="0" w:lastColumn="0" w:oddVBand="0" w:evenVBand="0" w:oddHBand="0" w:evenHBand="0" w:firstRowFirstColumn="0" w:firstRowLastColumn="0" w:lastRowFirstColumn="0" w:lastRowLastColumn="0"/>
              <w:rPr>
                <w:color w:val="095782"/>
                <w:sz w:val="22"/>
                <w:szCs w:val="22"/>
              </w:rPr>
            </w:pPr>
            <w:r w:rsidRPr="00FC0EC2">
              <w:rPr>
                <w:b w:val="0"/>
                <w:color w:val="095782"/>
                <w:sz w:val="22"/>
                <w:szCs w:val="22"/>
              </w:rPr>
              <w:t>External benefits</w:t>
            </w:r>
          </w:p>
        </w:tc>
      </w:tr>
      <w:tr w:rsidR="008771A5" w:rsidRPr="00FC0EC2" w14:paraId="39E43F0C" w14:textId="77777777" w:rsidTr="00877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25B20A6A" w14:textId="77777777" w:rsidR="008771A5" w:rsidRPr="00FC0EC2" w:rsidRDefault="008771A5" w:rsidP="00085DAB">
            <w:pPr>
              <w:spacing w:before="60" w:after="240"/>
              <w:rPr>
                <w:color w:val="095782"/>
                <w:sz w:val="22"/>
                <w:szCs w:val="22"/>
              </w:rPr>
            </w:pPr>
            <w:r w:rsidRPr="00FC0EC2">
              <w:rPr>
                <w:b w:val="0"/>
                <w:color w:val="095782"/>
                <w:sz w:val="22"/>
                <w:szCs w:val="22"/>
              </w:rPr>
              <w:t>Scenario 0 – higher energy efficient gas boiler</w:t>
            </w:r>
          </w:p>
          <w:p w14:paraId="3A463CC8" w14:textId="77777777" w:rsidR="008771A5" w:rsidRPr="00FC0EC2" w:rsidRDefault="008771A5" w:rsidP="00085DAB">
            <w:pPr>
              <w:spacing w:before="60" w:after="240"/>
              <w:rPr>
                <w:color w:val="095782"/>
                <w:sz w:val="22"/>
                <w:szCs w:val="22"/>
              </w:rPr>
            </w:pPr>
          </w:p>
        </w:tc>
        <w:tc>
          <w:tcPr>
            <w:tcW w:w="3349" w:type="dxa"/>
            <w:shd w:val="clear" w:color="auto" w:fill="auto"/>
          </w:tcPr>
          <w:p w14:paraId="339687F1" w14:textId="77777777" w:rsidR="008771A5" w:rsidRPr="00FC0EC2" w:rsidRDefault="008771A5" w:rsidP="008771A5">
            <w:pPr>
              <w:numPr>
                <w:ilvl w:val="0"/>
                <w:numId w:val="3"/>
              </w:numPr>
              <w:pBdr>
                <w:top w:val="nil"/>
                <w:left w:val="nil"/>
                <w:bottom w:val="nil"/>
                <w:right w:val="nil"/>
                <w:between w:val="nil"/>
              </w:pBdr>
              <w:tabs>
                <w:tab w:val="left" w:pos="284"/>
              </w:tabs>
              <w:cnfStyle w:val="000000100000" w:firstRow="0" w:lastRow="0" w:firstColumn="0" w:lastColumn="0" w:oddVBand="0" w:evenVBand="0" w:oddHBand="1" w:evenHBand="0" w:firstRowFirstColumn="0" w:firstRowLastColumn="0" w:lastRowFirstColumn="0" w:lastRowLastColumn="0"/>
              <w:rPr>
                <w:color w:val="095782"/>
                <w:sz w:val="22"/>
                <w:szCs w:val="22"/>
              </w:rPr>
            </w:pPr>
            <w:r w:rsidRPr="00FC0EC2">
              <w:rPr>
                <w:color w:val="3F3F3F"/>
                <w:sz w:val="20"/>
                <w:szCs w:val="20"/>
              </w:rPr>
              <w:t>Environmental costs triggered by the utilisation of the fossil gas boiler</w:t>
            </w:r>
          </w:p>
        </w:tc>
        <w:tc>
          <w:tcPr>
            <w:tcW w:w="3386" w:type="dxa"/>
            <w:shd w:val="clear" w:color="auto" w:fill="auto"/>
          </w:tcPr>
          <w:p w14:paraId="30EA06BD" w14:textId="77777777" w:rsidR="008771A5" w:rsidRPr="00FC0EC2" w:rsidRDefault="008771A5" w:rsidP="008771A5">
            <w:pPr>
              <w:numPr>
                <w:ilvl w:val="0"/>
                <w:numId w:val="2"/>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Avoided environmental costs due to substitution of the existing heating system by the fossil gas boiler</w:t>
            </w:r>
          </w:p>
          <w:p w14:paraId="1D114080" w14:textId="77777777" w:rsidR="008771A5" w:rsidRPr="00FC0EC2" w:rsidRDefault="008771A5" w:rsidP="008771A5">
            <w:pPr>
              <w:numPr>
                <w:ilvl w:val="0"/>
                <w:numId w:val="2"/>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095782"/>
                <w:sz w:val="22"/>
                <w:szCs w:val="22"/>
              </w:rPr>
            </w:pPr>
            <w:r w:rsidRPr="00FC0EC2">
              <w:rPr>
                <w:color w:val="3F3F3F"/>
                <w:sz w:val="20"/>
                <w:szCs w:val="20"/>
              </w:rPr>
              <w:t>Multiple benefits of improving thermal comfort and reducing energy poverty</w:t>
            </w:r>
          </w:p>
        </w:tc>
      </w:tr>
      <w:tr w:rsidR="008771A5" w:rsidRPr="00FC0EC2" w14:paraId="4B6C6939" w14:textId="77777777" w:rsidTr="008771A5">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04539351" w14:textId="77777777" w:rsidR="008771A5" w:rsidRPr="00FC0EC2" w:rsidRDefault="008771A5" w:rsidP="00085DAB">
            <w:pPr>
              <w:spacing w:before="60" w:after="240"/>
              <w:rPr>
                <w:color w:val="095782"/>
                <w:sz w:val="22"/>
                <w:szCs w:val="22"/>
              </w:rPr>
            </w:pPr>
            <w:r w:rsidRPr="00FC0EC2">
              <w:rPr>
                <w:b w:val="0"/>
                <w:color w:val="095782"/>
                <w:sz w:val="22"/>
                <w:szCs w:val="22"/>
              </w:rPr>
              <w:t>Scenario 1 – building envelope improvement</w:t>
            </w:r>
          </w:p>
        </w:tc>
        <w:tc>
          <w:tcPr>
            <w:tcW w:w="3349" w:type="dxa"/>
            <w:shd w:val="clear" w:color="auto" w:fill="auto"/>
          </w:tcPr>
          <w:p w14:paraId="154749BE" w14:textId="77777777" w:rsidR="008771A5" w:rsidRPr="00FC0EC2" w:rsidRDefault="008771A5" w:rsidP="008771A5">
            <w:pPr>
              <w:numPr>
                <w:ilvl w:val="0"/>
                <w:numId w:val="3"/>
              </w:numPr>
              <w:pBdr>
                <w:top w:val="nil"/>
                <w:left w:val="nil"/>
                <w:bottom w:val="nil"/>
                <w:right w:val="nil"/>
                <w:between w:val="nil"/>
              </w:pBdr>
              <w:tabs>
                <w:tab w:val="left" w:pos="284"/>
              </w:tabs>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Energy security costs triggered by the utilisation of the existing heating system despite the occurred reduction due to the building envelope improvement</w:t>
            </w:r>
          </w:p>
        </w:tc>
        <w:tc>
          <w:tcPr>
            <w:tcW w:w="3386" w:type="dxa"/>
            <w:shd w:val="clear" w:color="auto" w:fill="auto"/>
          </w:tcPr>
          <w:p w14:paraId="6AE4C427"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Reduced energy consumption due to improved building envelope</w:t>
            </w:r>
          </w:p>
          <w:p w14:paraId="65460CF8"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2"/>
                <w:szCs w:val="22"/>
              </w:rPr>
            </w:pPr>
            <w:r w:rsidRPr="00FC0EC2">
              <w:rPr>
                <w:color w:val="3F3F3F"/>
                <w:sz w:val="20"/>
                <w:szCs w:val="20"/>
              </w:rPr>
              <w:t>Increasing the house value</w:t>
            </w:r>
          </w:p>
        </w:tc>
      </w:tr>
      <w:tr w:rsidR="008771A5" w:rsidRPr="00FC0EC2" w14:paraId="0092A9BE" w14:textId="77777777" w:rsidTr="00877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190D9576" w14:textId="77777777" w:rsidR="008771A5" w:rsidRPr="00FC0EC2" w:rsidRDefault="008771A5" w:rsidP="00085DAB">
            <w:pPr>
              <w:spacing w:before="60" w:after="240"/>
              <w:rPr>
                <w:color w:val="095782"/>
                <w:sz w:val="22"/>
                <w:szCs w:val="22"/>
              </w:rPr>
            </w:pPr>
            <w:r w:rsidRPr="00FC0EC2">
              <w:rPr>
                <w:b w:val="0"/>
                <w:color w:val="095782"/>
                <w:sz w:val="22"/>
                <w:szCs w:val="22"/>
              </w:rPr>
              <w:t>Scenario 2 – heat pump installations</w:t>
            </w:r>
          </w:p>
        </w:tc>
        <w:tc>
          <w:tcPr>
            <w:tcW w:w="3349" w:type="dxa"/>
            <w:shd w:val="clear" w:color="auto" w:fill="auto"/>
          </w:tcPr>
          <w:p w14:paraId="392B9CF8" w14:textId="77777777" w:rsidR="008771A5" w:rsidRPr="00FC0EC2" w:rsidRDefault="008771A5" w:rsidP="008771A5">
            <w:pPr>
              <w:numPr>
                <w:ilvl w:val="0"/>
                <w:numId w:val="1"/>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Environmental costs triggered by the utilisation of the heat pump</w:t>
            </w:r>
          </w:p>
        </w:tc>
        <w:tc>
          <w:tcPr>
            <w:tcW w:w="3386" w:type="dxa"/>
            <w:shd w:val="clear" w:color="auto" w:fill="auto"/>
          </w:tcPr>
          <w:p w14:paraId="5931AC69" w14:textId="77777777" w:rsidR="008771A5" w:rsidRPr="00FC0EC2" w:rsidRDefault="008771A5" w:rsidP="008771A5">
            <w:pPr>
              <w:numPr>
                <w:ilvl w:val="0"/>
                <w:numId w:val="3"/>
              </w:numPr>
              <w:pBdr>
                <w:top w:val="nil"/>
                <w:left w:val="nil"/>
                <w:bottom w:val="nil"/>
                <w:right w:val="nil"/>
                <w:between w:val="nil"/>
              </w:pBdr>
              <w:tabs>
                <w:tab w:val="left" w:pos="284"/>
              </w:tabs>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Avoided environmental costs due to substitution of the existing heating systems by the heat pump</w:t>
            </w:r>
          </w:p>
          <w:p w14:paraId="61B01B93" w14:textId="77777777" w:rsidR="008771A5" w:rsidRPr="00FC0EC2" w:rsidRDefault="008771A5" w:rsidP="008771A5">
            <w:pPr>
              <w:numPr>
                <w:ilvl w:val="0"/>
                <w:numId w:val="3"/>
              </w:numPr>
              <w:pBdr>
                <w:top w:val="nil"/>
                <w:left w:val="nil"/>
                <w:bottom w:val="nil"/>
                <w:right w:val="nil"/>
                <w:between w:val="nil"/>
              </w:pBdr>
              <w:tabs>
                <w:tab w:val="left" w:pos="284"/>
              </w:tabs>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Multiple benefits of improving thermal comfort and reducing energy poverty</w:t>
            </w:r>
          </w:p>
          <w:p w14:paraId="3C1EB1AA" w14:textId="77777777" w:rsidR="008771A5" w:rsidRPr="00FC0EC2" w:rsidRDefault="008771A5" w:rsidP="008771A5">
            <w:pPr>
              <w:numPr>
                <w:ilvl w:val="0"/>
                <w:numId w:val="3"/>
              </w:numPr>
              <w:pBdr>
                <w:top w:val="nil"/>
                <w:left w:val="nil"/>
                <w:bottom w:val="nil"/>
                <w:right w:val="nil"/>
                <w:between w:val="nil"/>
              </w:pBdr>
              <w:tabs>
                <w:tab w:val="left" w:pos="284"/>
              </w:tabs>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Macroeconomic impacts</w:t>
            </w:r>
          </w:p>
        </w:tc>
      </w:tr>
      <w:tr w:rsidR="008771A5" w:rsidRPr="00FC0EC2" w14:paraId="73BC6CE9" w14:textId="77777777" w:rsidTr="008771A5">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15868F7B" w14:textId="77777777" w:rsidR="008771A5" w:rsidRPr="00FC0EC2" w:rsidRDefault="008771A5" w:rsidP="00085DAB">
            <w:pPr>
              <w:spacing w:before="60" w:after="240"/>
              <w:rPr>
                <w:color w:val="095782"/>
                <w:sz w:val="22"/>
                <w:szCs w:val="22"/>
              </w:rPr>
            </w:pPr>
            <w:r w:rsidRPr="00FC0EC2">
              <w:rPr>
                <w:b w:val="0"/>
                <w:color w:val="095782"/>
                <w:sz w:val="22"/>
                <w:szCs w:val="22"/>
              </w:rPr>
              <w:t>Scenario 3 – photovoltaic solar panels</w:t>
            </w:r>
          </w:p>
        </w:tc>
        <w:tc>
          <w:tcPr>
            <w:tcW w:w="3349" w:type="dxa"/>
            <w:shd w:val="clear" w:color="auto" w:fill="auto"/>
          </w:tcPr>
          <w:p w14:paraId="663B10AA"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000000"/>
                <w:sz w:val="22"/>
                <w:szCs w:val="22"/>
              </w:rPr>
            </w:pPr>
            <w:r w:rsidRPr="00FC0EC2">
              <w:rPr>
                <w:color w:val="3F3F3F"/>
                <w:sz w:val="20"/>
                <w:szCs w:val="20"/>
              </w:rPr>
              <w:t>Environmental costs triggered by the operation of photovoltaic systems</w:t>
            </w:r>
            <w:r w:rsidRPr="00FC0EC2">
              <w:rPr>
                <w:rStyle w:val="FootnoteReference"/>
                <w:color w:val="3F3F3F"/>
                <w:sz w:val="20"/>
                <w:szCs w:val="20"/>
              </w:rPr>
              <w:footnoteReference w:id="6"/>
            </w:r>
          </w:p>
          <w:p w14:paraId="02FB2AD5" w14:textId="77777777" w:rsidR="008771A5" w:rsidRPr="00FC0EC2" w:rsidRDefault="008771A5" w:rsidP="00085DAB">
            <w:pPr>
              <w:spacing w:before="60" w:after="240"/>
              <w:cnfStyle w:val="000000000000" w:firstRow="0" w:lastRow="0" w:firstColumn="0" w:lastColumn="0" w:oddVBand="0" w:evenVBand="0" w:oddHBand="0" w:evenHBand="0" w:firstRowFirstColumn="0" w:firstRowLastColumn="0" w:lastRowFirstColumn="0" w:lastRowLastColumn="0"/>
              <w:rPr>
                <w:color w:val="095782"/>
                <w:sz w:val="22"/>
                <w:szCs w:val="22"/>
              </w:rPr>
            </w:pPr>
          </w:p>
        </w:tc>
        <w:tc>
          <w:tcPr>
            <w:tcW w:w="3386" w:type="dxa"/>
            <w:shd w:val="clear" w:color="auto" w:fill="auto"/>
          </w:tcPr>
          <w:p w14:paraId="78A6D9BC" w14:textId="77777777" w:rsidR="008771A5" w:rsidRPr="00FC0EC2" w:rsidRDefault="008771A5" w:rsidP="008771A5">
            <w:pPr>
              <w:numPr>
                <w:ilvl w:val="0"/>
                <w:numId w:val="3"/>
              </w:numPr>
              <w:pBdr>
                <w:top w:val="nil"/>
                <w:left w:val="nil"/>
                <w:bottom w:val="nil"/>
                <w:right w:val="nil"/>
                <w:between w:val="nil"/>
              </w:pBdr>
              <w:tabs>
                <w:tab w:val="left" w:pos="284"/>
              </w:tabs>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Reduced environmental costs due to reduction of conventional</w:t>
            </w:r>
            <w:sdt>
              <w:sdtPr>
                <w:tag w:val="goog_rdk_20"/>
                <w:id w:val="-254363845"/>
              </w:sdtPr>
              <w:sdtContent/>
            </w:sdt>
            <w:r w:rsidRPr="00FC0EC2">
              <w:rPr>
                <w:color w:val="3F3F3F"/>
                <w:sz w:val="20"/>
                <w:szCs w:val="20"/>
              </w:rPr>
              <w:t xml:space="preserve"> electricity used from the grid</w:t>
            </w:r>
          </w:p>
          <w:p w14:paraId="33FBEF85" w14:textId="77777777" w:rsidR="008771A5" w:rsidRPr="00FC0EC2" w:rsidRDefault="008771A5" w:rsidP="008771A5">
            <w:pPr>
              <w:numPr>
                <w:ilvl w:val="0"/>
                <w:numId w:val="3"/>
              </w:numPr>
              <w:pBdr>
                <w:top w:val="nil"/>
                <w:left w:val="nil"/>
                <w:bottom w:val="nil"/>
                <w:right w:val="nil"/>
                <w:between w:val="nil"/>
              </w:pBdr>
              <w:tabs>
                <w:tab w:val="left" w:pos="284"/>
              </w:tabs>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Multiple benefits of reducing energy poverty</w:t>
            </w:r>
          </w:p>
          <w:p w14:paraId="63209336" w14:textId="77777777" w:rsidR="008771A5" w:rsidRPr="00FC0EC2" w:rsidRDefault="008771A5" w:rsidP="008771A5">
            <w:pPr>
              <w:numPr>
                <w:ilvl w:val="0"/>
                <w:numId w:val="3"/>
              </w:numPr>
              <w:pBdr>
                <w:top w:val="nil"/>
                <w:left w:val="nil"/>
                <w:bottom w:val="nil"/>
                <w:right w:val="nil"/>
                <w:between w:val="nil"/>
              </w:pBdr>
              <w:tabs>
                <w:tab w:val="left" w:pos="284"/>
              </w:tabs>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Increasing the house value</w:t>
            </w:r>
          </w:p>
        </w:tc>
      </w:tr>
      <w:tr w:rsidR="008771A5" w:rsidRPr="00FC0EC2" w14:paraId="79A17D34" w14:textId="77777777" w:rsidTr="008771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1EAB0EDF" w14:textId="77777777" w:rsidR="008771A5" w:rsidRPr="00FC0EC2" w:rsidRDefault="008771A5" w:rsidP="00085DAB">
            <w:pPr>
              <w:spacing w:before="60" w:after="240"/>
              <w:rPr>
                <w:b w:val="0"/>
                <w:color w:val="095782"/>
                <w:sz w:val="22"/>
                <w:szCs w:val="22"/>
              </w:rPr>
            </w:pPr>
            <w:r w:rsidRPr="00FC0EC2">
              <w:rPr>
                <w:b w:val="0"/>
                <w:color w:val="095782"/>
                <w:sz w:val="22"/>
                <w:szCs w:val="22"/>
              </w:rPr>
              <w:t>Scenario 4 – Integrated retrofit package including the improvement of the building envelope and heat pump installation</w:t>
            </w:r>
          </w:p>
        </w:tc>
        <w:tc>
          <w:tcPr>
            <w:tcW w:w="3349" w:type="dxa"/>
            <w:shd w:val="clear" w:color="auto" w:fill="auto"/>
          </w:tcPr>
          <w:p w14:paraId="23664DF7" w14:textId="77777777" w:rsidR="008771A5" w:rsidRPr="00FC0EC2" w:rsidRDefault="008771A5" w:rsidP="008771A5">
            <w:pPr>
              <w:numPr>
                <w:ilvl w:val="0"/>
                <w:numId w:val="1"/>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Environmental costs triggered by the utilisation of heat pump</w:t>
            </w:r>
          </w:p>
        </w:tc>
        <w:tc>
          <w:tcPr>
            <w:tcW w:w="3386" w:type="dxa"/>
            <w:shd w:val="clear" w:color="auto" w:fill="auto"/>
          </w:tcPr>
          <w:p w14:paraId="26C9C51D" w14:textId="77777777" w:rsidR="008771A5" w:rsidRPr="00FC0EC2" w:rsidRDefault="008771A5" w:rsidP="008771A5">
            <w:pPr>
              <w:numPr>
                <w:ilvl w:val="0"/>
                <w:numId w:val="1"/>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Avoided environmental costs due to reduced use of the existing heating systems and the operation of the heat pump</w:t>
            </w:r>
          </w:p>
          <w:p w14:paraId="259BAED9" w14:textId="77777777" w:rsidR="008771A5" w:rsidRPr="00FC0EC2" w:rsidRDefault="008771A5" w:rsidP="008771A5">
            <w:pPr>
              <w:numPr>
                <w:ilvl w:val="0"/>
                <w:numId w:val="1"/>
              </w:num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3F3F3F"/>
                <w:sz w:val="20"/>
                <w:szCs w:val="20"/>
              </w:rPr>
            </w:pPr>
            <w:r w:rsidRPr="00FC0EC2">
              <w:rPr>
                <w:color w:val="3F3F3F"/>
                <w:sz w:val="20"/>
                <w:szCs w:val="20"/>
              </w:rPr>
              <w:t>Increased house value</w:t>
            </w:r>
          </w:p>
          <w:p w14:paraId="608F6EFB" w14:textId="77777777" w:rsidR="008771A5" w:rsidRPr="00FC0EC2" w:rsidRDefault="008771A5" w:rsidP="008771A5">
            <w:pPr>
              <w:numPr>
                <w:ilvl w:val="0"/>
                <w:numId w:val="1"/>
              </w:numPr>
              <w:cnfStyle w:val="000000100000" w:firstRow="0" w:lastRow="0" w:firstColumn="0" w:lastColumn="0" w:oddVBand="0" w:evenVBand="0" w:oddHBand="1" w:evenHBand="0" w:firstRowFirstColumn="0" w:firstRowLastColumn="0" w:lastRowFirstColumn="0" w:lastRowLastColumn="0"/>
              <w:rPr>
                <w:sz w:val="20"/>
                <w:szCs w:val="20"/>
              </w:rPr>
            </w:pPr>
            <w:r w:rsidRPr="00FC0EC2">
              <w:rPr>
                <w:color w:val="3F3F3F"/>
                <w:sz w:val="20"/>
                <w:szCs w:val="20"/>
              </w:rPr>
              <w:t>Macroeconomic impacts</w:t>
            </w:r>
          </w:p>
        </w:tc>
      </w:tr>
      <w:tr w:rsidR="008771A5" w:rsidRPr="00FC0EC2" w14:paraId="4CECDCB3" w14:textId="77777777" w:rsidTr="008771A5">
        <w:tc>
          <w:tcPr>
            <w:cnfStyle w:val="001000000000" w:firstRow="0" w:lastRow="0" w:firstColumn="1" w:lastColumn="0" w:oddVBand="0" w:evenVBand="0" w:oddHBand="0" w:evenHBand="0" w:firstRowFirstColumn="0" w:firstRowLastColumn="0" w:lastRowFirstColumn="0" w:lastRowLastColumn="0"/>
            <w:tcW w:w="2281" w:type="dxa"/>
            <w:shd w:val="clear" w:color="auto" w:fill="auto"/>
          </w:tcPr>
          <w:p w14:paraId="434D34EB" w14:textId="77777777" w:rsidR="008771A5" w:rsidRPr="00FC0EC2" w:rsidRDefault="008771A5" w:rsidP="00085DAB">
            <w:pPr>
              <w:spacing w:before="60" w:after="240"/>
              <w:rPr>
                <w:color w:val="095782"/>
                <w:sz w:val="22"/>
                <w:szCs w:val="22"/>
              </w:rPr>
            </w:pPr>
            <w:r w:rsidRPr="00FC0EC2">
              <w:rPr>
                <w:b w:val="0"/>
                <w:color w:val="095782"/>
                <w:sz w:val="22"/>
                <w:szCs w:val="22"/>
              </w:rPr>
              <w:lastRenderedPageBreak/>
              <w:t>Scenario 5– zero energy buildings</w:t>
            </w:r>
          </w:p>
        </w:tc>
        <w:tc>
          <w:tcPr>
            <w:tcW w:w="3349" w:type="dxa"/>
            <w:shd w:val="clear" w:color="auto" w:fill="auto"/>
          </w:tcPr>
          <w:p w14:paraId="03F3ED1F"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Environmental costs triggered by the utilisation of heat pump</w:t>
            </w:r>
          </w:p>
          <w:p w14:paraId="3FDC7842" w14:textId="77777777" w:rsidR="008771A5" w:rsidRPr="00FC0EC2" w:rsidRDefault="00000000"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sdt>
              <w:sdtPr>
                <w:tag w:val="goog_rdk_27"/>
                <w:id w:val="1311364106"/>
              </w:sdtPr>
              <w:sdtContent/>
            </w:sdt>
            <w:r w:rsidR="008771A5" w:rsidRPr="00FC0EC2">
              <w:rPr>
                <w:color w:val="3F3F3F"/>
                <w:sz w:val="20"/>
                <w:szCs w:val="20"/>
              </w:rPr>
              <w:t>Environmental costs triggered by the operation of photovoltaic systems</w:t>
            </w:r>
          </w:p>
          <w:p w14:paraId="07FE4616" w14:textId="77777777" w:rsidR="008771A5" w:rsidRPr="00FC0EC2" w:rsidRDefault="008771A5" w:rsidP="00085DAB">
            <w:pPr>
              <w:pBdr>
                <w:top w:val="nil"/>
                <w:left w:val="nil"/>
                <w:bottom w:val="nil"/>
                <w:right w:val="nil"/>
                <w:between w:val="nil"/>
              </w:pBdr>
              <w:ind w:left="360"/>
              <w:cnfStyle w:val="000000000000" w:firstRow="0" w:lastRow="0" w:firstColumn="0" w:lastColumn="0" w:oddVBand="0" w:evenVBand="0" w:oddHBand="0" w:evenHBand="0" w:firstRowFirstColumn="0" w:firstRowLastColumn="0" w:lastRowFirstColumn="0" w:lastRowLastColumn="0"/>
              <w:rPr>
                <w:color w:val="095782"/>
                <w:sz w:val="22"/>
                <w:szCs w:val="22"/>
              </w:rPr>
            </w:pPr>
          </w:p>
        </w:tc>
        <w:tc>
          <w:tcPr>
            <w:tcW w:w="3386" w:type="dxa"/>
            <w:shd w:val="clear" w:color="auto" w:fill="auto"/>
          </w:tcPr>
          <w:p w14:paraId="40D35FC2"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Avoided environmental costs due to reduced use of the existing heating systems and the operation of the heat pump</w:t>
            </w:r>
          </w:p>
          <w:p w14:paraId="080D5DF0"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Increased house value</w:t>
            </w:r>
          </w:p>
          <w:p w14:paraId="03D9661B"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Reduced environmental costs due to reduction of electricity used from the grid</w:t>
            </w:r>
          </w:p>
          <w:p w14:paraId="462EC9D6" w14:textId="77777777" w:rsidR="008771A5" w:rsidRPr="00FC0EC2" w:rsidRDefault="008771A5" w:rsidP="008771A5">
            <w:pPr>
              <w:numPr>
                <w:ilvl w:val="0"/>
                <w:numId w:val="1"/>
              </w:num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3F3F3F"/>
                <w:sz w:val="20"/>
                <w:szCs w:val="20"/>
              </w:rPr>
            </w:pPr>
            <w:r w:rsidRPr="00FC0EC2">
              <w:rPr>
                <w:color w:val="3F3F3F"/>
                <w:sz w:val="20"/>
                <w:szCs w:val="20"/>
              </w:rPr>
              <w:t>Macroeconomic impacts</w:t>
            </w:r>
          </w:p>
          <w:p w14:paraId="0C020125" w14:textId="77777777" w:rsidR="008771A5" w:rsidRPr="00FC0EC2" w:rsidRDefault="008771A5" w:rsidP="00085DAB">
            <w:pPr>
              <w:pBdr>
                <w:top w:val="nil"/>
                <w:left w:val="nil"/>
                <w:bottom w:val="nil"/>
                <w:right w:val="nil"/>
                <w:between w:val="nil"/>
              </w:pBdr>
              <w:ind w:left="360"/>
              <w:cnfStyle w:val="000000000000" w:firstRow="0" w:lastRow="0" w:firstColumn="0" w:lastColumn="0" w:oddVBand="0" w:evenVBand="0" w:oddHBand="0" w:evenHBand="0" w:firstRowFirstColumn="0" w:firstRowLastColumn="0" w:lastRowFirstColumn="0" w:lastRowLastColumn="0"/>
              <w:rPr>
                <w:color w:val="3F3F3F"/>
                <w:sz w:val="20"/>
                <w:szCs w:val="20"/>
              </w:rPr>
            </w:pPr>
          </w:p>
          <w:p w14:paraId="43F29938" w14:textId="77777777" w:rsidR="008771A5" w:rsidRPr="00FC0EC2" w:rsidRDefault="008771A5" w:rsidP="00085DAB">
            <w:pPr>
              <w:spacing w:before="60" w:after="240"/>
              <w:cnfStyle w:val="000000000000" w:firstRow="0" w:lastRow="0" w:firstColumn="0" w:lastColumn="0" w:oddVBand="0" w:evenVBand="0" w:oddHBand="0" w:evenHBand="0" w:firstRowFirstColumn="0" w:firstRowLastColumn="0" w:lastRowFirstColumn="0" w:lastRowLastColumn="0"/>
              <w:rPr>
                <w:color w:val="095782"/>
                <w:sz w:val="22"/>
                <w:szCs w:val="22"/>
              </w:rPr>
            </w:pPr>
          </w:p>
        </w:tc>
      </w:tr>
    </w:tbl>
    <w:p w14:paraId="06A68712" w14:textId="77777777" w:rsidR="008771A5" w:rsidRDefault="008771A5" w:rsidP="00445D98"/>
    <w:p w14:paraId="641596C4" w14:textId="77777777" w:rsidR="008771A5" w:rsidRDefault="008771A5" w:rsidP="008771A5">
      <w:pPr>
        <w:pStyle w:val="Heading3"/>
      </w:pPr>
      <w:r>
        <w:t>Step 5: quantify the CBA and SCBA components</w:t>
      </w:r>
    </w:p>
    <w:p w14:paraId="2B45DB02" w14:textId="52961489" w:rsidR="008771A5" w:rsidRDefault="008771A5" w:rsidP="008771A5">
      <w:r>
        <w:t xml:space="preserve">The data for the monetary costs is extracted from the Greenpeace study which was entitled “Cost-benefit analysis of RES and energy efficiency interventions in residential buildings” and published in 2022. The selected cost data within the context of the Greek study were verified by external experts. Then, the selected data were modified </w:t>
      </w:r>
      <w:r w:rsidR="002E7E88">
        <w:t>as to consider also other European countries</w:t>
      </w:r>
      <w:r>
        <w:t xml:space="preserve"> </w:t>
      </w:r>
      <w:r w:rsidR="00306FC9">
        <w:t>with</w:t>
      </w:r>
      <w:r>
        <w:t xml:space="preserve"> data both from other available studies (e.g., IRENA, 2022, Renewable solutions in end-uses: Heat pump costs and markets) and from </w:t>
      </w:r>
      <w:r w:rsidR="00306FC9">
        <w:t xml:space="preserve">the </w:t>
      </w:r>
      <w:r>
        <w:t>ECF study (IEECP, 2022, Study on the impacts of policies to decarbonize residential buildings on energy poverty in CEE/SEE and mitigation strategies). Table 6 summarizes the main categories of costs and benefits, which</w:t>
      </w:r>
      <w:r w:rsidR="00CC7327">
        <w:t xml:space="preserve"> a</w:t>
      </w:r>
      <w:r>
        <w:t xml:space="preserve">re quantified </w:t>
      </w:r>
      <w:r w:rsidR="00CC7327">
        <w:t>in the tool</w:t>
      </w:r>
      <w:r>
        <w:t>.</w:t>
      </w:r>
    </w:p>
    <w:p w14:paraId="1FDF622D" w14:textId="21421AA1" w:rsidR="008771A5" w:rsidRDefault="008771A5" w:rsidP="008771A5">
      <w:r>
        <w:t xml:space="preserve">Regarding the fuel benefits and cost savings, </w:t>
      </w:r>
      <w:r w:rsidR="005622C9">
        <w:t>a</w:t>
      </w:r>
      <w:r>
        <w:t xml:space="preserve"> uniform and conservati</w:t>
      </w:r>
      <w:r w:rsidR="005622C9">
        <w:t>ve</w:t>
      </w:r>
      <w:r>
        <w:t xml:space="preserve"> estimation was decided for the delivered cost savings by the application of the net-metering schemes in </w:t>
      </w:r>
      <w:r w:rsidR="005622C9">
        <w:t>different European</w:t>
      </w:r>
      <w:r>
        <w:t xml:space="preserve"> countries (assuming 30% - 50% cost reduction customised per country) since it was possible to model all the implemented schemes so as to receive more accurate results</w:t>
      </w:r>
      <w:r w:rsidR="00452EB4">
        <w:t>.</w:t>
      </w:r>
    </w:p>
    <w:p w14:paraId="499F9252" w14:textId="73279A98" w:rsidR="008771A5" w:rsidRDefault="008771A5" w:rsidP="008771A5">
      <w:pPr>
        <w:pStyle w:val="Caption"/>
        <w:keepNext/>
      </w:pPr>
      <w:r>
        <w:t xml:space="preserve">Table </w:t>
      </w:r>
      <w:r>
        <w:fldChar w:fldCharType="begin"/>
      </w:r>
      <w:r>
        <w:instrText xml:space="preserve"> SEQ Table \* ARABIC </w:instrText>
      </w:r>
      <w:r>
        <w:fldChar w:fldCharType="separate"/>
      </w:r>
      <w:r w:rsidR="00843A57">
        <w:rPr>
          <w:noProof/>
        </w:rPr>
        <w:t>6</w:t>
      </w:r>
      <w:r>
        <w:fldChar w:fldCharType="end"/>
      </w:r>
      <w:r>
        <w:t xml:space="preserve">: </w:t>
      </w:r>
      <w:r w:rsidRPr="00E17D42">
        <w:t>Quantified categories of costs and benefits in the CBA</w:t>
      </w:r>
    </w:p>
    <w:tbl>
      <w:tblPr>
        <w:tblStyle w:val="79"/>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7"/>
        <w:gridCol w:w="6252"/>
      </w:tblGrid>
      <w:tr w:rsidR="008771A5" w:rsidRPr="00FC0EC2" w14:paraId="6E9F2001" w14:textId="77777777" w:rsidTr="008771A5">
        <w:trPr>
          <w:cnfStyle w:val="100000000000" w:firstRow="1" w:lastRow="0" w:firstColumn="0" w:lastColumn="0" w:oddVBand="0" w:evenVBand="0" w:oddHBand="0"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2767" w:type="dxa"/>
            <w:shd w:val="clear" w:color="auto" w:fill="auto"/>
          </w:tcPr>
          <w:p w14:paraId="76484D6A" w14:textId="77777777" w:rsidR="008771A5" w:rsidRPr="00FC0EC2" w:rsidRDefault="008771A5" w:rsidP="00085DAB">
            <w:pPr>
              <w:rPr>
                <w:sz w:val="20"/>
                <w:szCs w:val="20"/>
              </w:rPr>
            </w:pPr>
            <w:r w:rsidRPr="00FC0EC2">
              <w:rPr>
                <w:sz w:val="20"/>
                <w:szCs w:val="20"/>
              </w:rPr>
              <w:t>Cost</w:t>
            </w:r>
          </w:p>
        </w:tc>
        <w:tc>
          <w:tcPr>
            <w:tcW w:w="6259" w:type="dxa"/>
            <w:gridSpan w:val="2"/>
            <w:shd w:val="clear" w:color="auto" w:fill="auto"/>
          </w:tcPr>
          <w:p w14:paraId="4ECECD19" w14:textId="77777777" w:rsidR="008771A5" w:rsidRPr="00FC0EC2" w:rsidRDefault="008771A5" w:rsidP="00085DAB">
            <w:pPr>
              <w:cnfStyle w:val="100000000000" w:firstRow="1" w:lastRow="0" w:firstColumn="0" w:lastColumn="0" w:oddVBand="0" w:evenVBand="0" w:oddHBand="0" w:evenHBand="0" w:firstRowFirstColumn="0" w:firstRowLastColumn="0" w:lastRowFirstColumn="0" w:lastRowLastColumn="0"/>
              <w:rPr>
                <w:sz w:val="20"/>
                <w:szCs w:val="20"/>
              </w:rPr>
            </w:pPr>
            <w:r w:rsidRPr="00FC0EC2">
              <w:rPr>
                <w:sz w:val="20"/>
                <w:szCs w:val="20"/>
              </w:rPr>
              <w:t>Description</w:t>
            </w:r>
          </w:p>
        </w:tc>
      </w:tr>
      <w:tr w:rsidR="008771A5" w:rsidRPr="00FC0EC2" w14:paraId="06DD9B13" w14:textId="77777777" w:rsidTr="008771A5">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2767" w:type="dxa"/>
            <w:shd w:val="clear" w:color="auto" w:fill="auto"/>
          </w:tcPr>
          <w:p w14:paraId="699BC417" w14:textId="77777777" w:rsidR="008771A5" w:rsidRPr="00FC0EC2" w:rsidRDefault="008771A5" w:rsidP="00085DAB">
            <w:pPr>
              <w:rPr>
                <w:b w:val="0"/>
                <w:sz w:val="20"/>
                <w:szCs w:val="20"/>
              </w:rPr>
            </w:pPr>
            <w:r w:rsidRPr="00FC0EC2">
              <w:rPr>
                <w:b w:val="0"/>
                <w:sz w:val="20"/>
                <w:szCs w:val="20"/>
              </w:rPr>
              <w:t>Operational and maintenance costs</w:t>
            </w:r>
          </w:p>
        </w:tc>
        <w:tc>
          <w:tcPr>
            <w:tcW w:w="6259" w:type="dxa"/>
            <w:gridSpan w:val="2"/>
            <w:shd w:val="clear" w:color="auto" w:fill="auto"/>
          </w:tcPr>
          <w:p w14:paraId="17BE9EC5" w14:textId="77777777" w:rsidR="008771A5" w:rsidRPr="00FC0EC2" w:rsidRDefault="008771A5" w:rsidP="008771A5">
            <w:pPr>
              <w:numPr>
                <w:ilvl w:val="0"/>
                <w:numId w:val="4"/>
              </w:numPr>
              <w:pBdr>
                <w:top w:val="nil"/>
                <w:left w:val="nil"/>
                <w:bottom w:val="nil"/>
                <w:right w:val="nil"/>
                <w:between w:val="nil"/>
              </w:pBdr>
              <w:ind w:left="202" w:hanging="202"/>
              <w:cnfStyle w:val="000000100000" w:firstRow="0" w:lastRow="0" w:firstColumn="0" w:lastColumn="0" w:oddVBand="0" w:evenVBand="0" w:oddHBand="1" w:evenHBand="0" w:firstRowFirstColumn="0" w:firstRowLastColumn="0" w:lastRowFirstColumn="0" w:lastRowLastColumn="0"/>
              <w:rPr>
                <w:color w:val="000000"/>
                <w:sz w:val="20"/>
                <w:szCs w:val="20"/>
              </w:rPr>
            </w:pPr>
            <w:r w:rsidRPr="00FC0EC2">
              <w:rPr>
                <w:color w:val="000000"/>
                <w:sz w:val="20"/>
                <w:szCs w:val="20"/>
              </w:rPr>
              <w:t xml:space="preserve">Operational and maintenance cost of the new energy efficient equipment/technology </w:t>
            </w:r>
          </w:p>
        </w:tc>
      </w:tr>
      <w:tr w:rsidR="008771A5" w:rsidRPr="00FC0EC2" w14:paraId="08065412" w14:textId="77777777" w:rsidTr="008771A5">
        <w:trPr>
          <w:trHeight w:val="64"/>
          <w:jc w:val="center"/>
        </w:trPr>
        <w:tc>
          <w:tcPr>
            <w:cnfStyle w:val="001000000000" w:firstRow="0" w:lastRow="0" w:firstColumn="1" w:lastColumn="0" w:oddVBand="0" w:evenVBand="0" w:oddHBand="0" w:evenHBand="0" w:firstRowFirstColumn="0" w:firstRowLastColumn="0" w:lastRowFirstColumn="0" w:lastRowLastColumn="0"/>
            <w:tcW w:w="2774" w:type="dxa"/>
            <w:gridSpan w:val="2"/>
            <w:shd w:val="clear" w:color="auto" w:fill="auto"/>
          </w:tcPr>
          <w:p w14:paraId="7E92E185" w14:textId="77777777" w:rsidR="008771A5" w:rsidRPr="00FC0EC2" w:rsidRDefault="008771A5" w:rsidP="00085DAB">
            <w:pPr>
              <w:rPr>
                <w:sz w:val="20"/>
                <w:szCs w:val="20"/>
              </w:rPr>
            </w:pPr>
            <w:r w:rsidRPr="00FC0EC2">
              <w:rPr>
                <w:b w:val="0"/>
                <w:sz w:val="20"/>
                <w:szCs w:val="20"/>
              </w:rPr>
              <w:t>Operational and maintenance benefits</w:t>
            </w:r>
          </w:p>
        </w:tc>
        <w:tc>
          <w:tcPr>
            <w:tcW w:w="6252" w:type="dxa"/>
            <w:shd w:val="clear" w:color="auto" w:fill="auto"/>
          </w:tcPr>
          <w:p w14:paraId="63E29F4E" w14:textId="77777777" w:rsidR="008771A5" w:rsidRPr="00FC0EC2" w:rsidRDefault="00000000" w:rsidP="008771A5">
            <w:pPr>
              <w:numPr>
                <w:ilvl w:val="0"/>
                <w:numId w:val="4"/>
              </w:numPr>
              <w:pBdr>
                <w:top w:val="nil"/>
                <w:left w:val="nil"/>
                <w:bottom w:val="nil"/>
                <w:right w:val="nil"/>
                <w:between w:val="nil"/>
              </w:pBdr>
              <w:ind w:left="202" w:hanging="202"/>
              <w:cnfStyle w:val="000000000000" w:firstRow="0" w:lastRow="0" w:firstColumn="0" w:lastColumn="0" w:oddVBand="0" w:evenVBand="0" w:oddHBand="0" w:evenHBand="0" w:firstRowFirstColumn="0" w:firstRowLastColumn="0" w:lastRowFirstColumn="0" w:lastRowLastColumn="0"/>
              <w:rPr>
                <w:color w:val="000000"/>
                <w:sz w:val="20"/>
                <w:szCs w:val="20"/>
              </w:rPr>
            </w:pPr>
            <w:sdt>
              <w:sdtPr>
                <w:tag w:val="goog_rdk_21"/>
                <w:id w:val="1286618759"/>
              </w:sdtPr>
              <w:sdtContent/>
            </w:sdt>
            <w:r w:rsidR="008771A5" w:rsidRPr="00FC0EC2">
              <w:rPr>
                <w:color w:val="000000"/>
                <w:sz w:val="20"/>
                <w:szCs w:val="20"/>
              </w:rPr>
              <w:t>Avoided operational and maintenance cost of the existing technology for the average-income group of households</w:t>
            </w:r>
          </w:p>
        </w:tc>
      </w:tr>
      <w:tr w:rsidR="008771A5" w:rsidRPr="00FC0EC2" w14:paraId="521BB835" w14:textId="77777777" w:rsidTr="008771A5">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2774" w:type="dxa"/>
            <w:gridSpan w:val="2"/>
            <w:shd w:val="clear" w:color="auto" w:fill="auto"/>
          </w:tcPr>
          <w:p w14:paraId="75D3FD1E" w14:textId="77777777" w:rsidR="008771A5" w:rsidRPr="00FC0EC2" w:rsidRDefault="008771A5" w:rsidP="00085DAB">
            <w:pPr>
              <w:rPr>
                <w:sz w:val="20"/>
                <w:szCs w:val="20"/>
              </w:rPr>
            </w:pPr>
            <w:r w:rsidRPr="00FC0EC2">
              <w:rPr>
                <w:b w:val="0"/>
                <w:sz w:val="20"/>
                <w:szCs w:val="20"/>
              </w:rPr>
              <w:t>Fuel costs</w:t>
            </w:r>
          </w:p>
        </w:tc>
        <w:tc>
          <w:tcPr>
            <w:tcW w:w="6252" w:type="dxa"/>
            <w:shd w:val="clear" w:color="auto" w:fill="auto"/>
          </w:tcPr>
          <w:p w14:paraId="60A26C25" w14:textId="77777777" w:rsidR="008771A5" w:rsidRPr="00FC0EC2" w:rsidRDefault="008771A5" w:rsidP="008771A5">
            <w:pPr>
              <w:numPr>
                <w:ilvl w:val="0"/>
                <w:numId w:val="4"/>
              </w:numPr>
              <w:pBdr>
                <w:top w:val="nil"/>
                <w:left w:val="nil"/>
                <w:bottom w:val="nil"/>
                <w:right w:val="nil"/>
                <w:between w:val="nil"/>
              </w:pBdr>
              <w:ind w:left="202" w:hanging="202"/>
              <w:cnfStyle w:val="000000100000" w:firstRow="0" w:lastRow="0" w:firstColumn="0" w:lastColumn="0" w:oddVBand="0" w:evenVBand="0" w:oddHBand="1" w:evenHBand="0" w:firstRowFirstColumn="0" w:firstRowLastColumn="0" w:lastRowFirstColumn="0" w:lastRowLastColumn="0"/>
              <w:rPr>
                <w:color w:val="000000"/>
                <w:sz w:val="20"/>
                <w:szCs w:val="20"/>
              </w:rPr>
            </w:pPr>
            <w:r w:rsidRPr="00FC0EC2">
              <w:rPr>
                <w:color w:val="000000"/>
                <w:sz w:val="20"/>
                <w:szCs w:val="20"/>
              </w:rPr>
              <w:t>Fuel cost of the new energy efficient equipment/technology</w:t>
            </w:r>
          </w:p>
        </w:tc>
      </w:tr>
      <w:tr w:rsidR="008771A5" w:rsidRPr="00FC0EC2" w14:paraId="4647800E" w14:textId="77777777" w:rsidTr="008771A5">
        <w:trPr>
          <w:trHeight w:val="134"/>
          <w:jc w:val="center"/>
        </w:trPr>
        <w:tc>
          <w:tcPr>
            <w:cnfStyle w:val="001000000000" w:firstRow="0" w:lastRow="0" w:firstColumn="1" w:lastColumn="0" w:oddVBand="0" w:evenVBand="0" w:oddHBand="0" w:evenHBand="0" w:firstRowFirstColumn="0" w:firstRowLastColumn="0" w:lastRowFirstColumn="0" w:lastRowLastColumn="0"/>
            <w:tcW w:w="2774" w:type="dxa"/>
            <w:gridSpan w:val="2"/>
            <w:shd w:val="clear" w:color="auto" w:fill="auto"/>
          </w:tcPr>
          <w:p w14:paraId="0C76B142" w14:textId="77777777" w:rsidR="008771A5" w:rsidRPr="00FC0EC2" w:rsidRDefault="008771A5" w:rsidP="00085DAB">
            <w:pPr>
              <w:rPr>
                <w:sz w:val="20"/>
                <w:szCs w:val="20"/>
              </w:rPr>
            </w:pPr>
            <w:r w:rsidRPr="00FC0EC2">
              <w:rPr>
                <w:b w:val="0"/>
                <w:sz w:val="20"/>
                <w:szCs w:val="20"/>
              </w:rPr>
              <w:t>Fuel benefits</w:t>
            </w:r>
          </w:p>
        </w:tc>
        <w:tc>
          <w:tcPr>
            <w:tcW w:w="6252" w:type="dxa"/>
            <w:shd w:val="clear" w:color="auto" w:fill="auto"/>
          </w:tcPr>
          <w:p w14:paraId="407AE8F3" w14:textId="77777777" w:rsidR="008771A5" w:rsidRPr="00FC0EC2" w:rsidRDefault="008771A5" w:rsidP="008771A5">
            <w:pPr>
              <w:numPr>
                <w:ilvl w:val="0"/>
                <w:numId w:val="4"/>
              </w:numPr>
              <w:pBdr>
                <w:top w:val="nil"/>
                <w:left w:val="nil"/>
                <w:bottom w:val="nil"/>
                <w:right w:val="nil"/>
                <w:between w:val="nil"/>
              </w:pBdr>
              <w:ind w:left="202" w:hanging="202"/>
              <w:cnfStyle w:val="000000000000" w:firstRow="0" w:lastRow="0" w:firstColumn="0" w:lastColumn="0" w:oddVBand="0" w:evenVBand="0" w:oddHBand="0" w:evenHBand="0" w:firstRowFirstColumn="0" w:firstRowLastColumn="0" w:lastRowFirstColumn="0" w:lastRowLastColumn="0"/>
              <w:rPr>
                <w:color w:val="000000"/>
                <w:sz w:val="20"/>
                <w:szCs w:val="20"/>
              </w:rPr>
            </w:pPr>
            <w:r w:rsidRPr="00FC0EC2">
              <w:rPr>
                <w:color w:val="000000"/>
                <w:sz w:val="20"/>
                <w:szCs w:val="20"/>
              </w:rPr>
              <w:t>Avoided fuel cost of the existing equipment/technology</w:t>
            </w:r>
          </w:p>
        </w:tc>
      </w:tr>
      <w:tr w:rsidR="008771A5" w:rsidRPr="00FC0EC2" w14:paraId="6CC5F78A" w14:textId="77777777" w:rsidTr="008771A5">
        <w:trPr>
          <w:cnfStyle w:val="000000100000" w:firstRow="0" w:lastRow="0" w:firstColumn="0" w:lastColumn="0" w:oddVBand="0" w:evenVBand="0" w:oddHBand="1" w:evenHBand="0" w:firstRowFirstColumn="0" w:firstRowLastColumn="0" w:lastRowFirstColumn="0" w:lastRowLastColumn="0"/>
          <w:trHeight w:val="265"/>
          <w:jc w:val="center"/>
        </w:trPr>
        <w:tc>
          <w:tcPr>
            <w:cnfStyle w:val="001000000000" w:firstRow="0" w:lastRow="0" w:firstColumn="1" w:lastColumn="0" w:oddVBand="0" w:evenVBand="0" w:oddHBand="0" w:evenHBand="0" w:firstRowFirstColumn="0" w:firstRowLastColumn="0" w:lastRowFirstColumn="0" w:lastRowLastColumn="0"/>
            <w:tcW w:w="2774" w:type="dxa"/>
            <w:gridSpan w:val="2"/>
            <w:shd w:val="clear" w:color="auto" w:fill="auto"/>
          </w:tcPr>
          <w:p w14:paraId="40086164" w14:textId="77777777" w:rsidR="008771A5" w:rsidRPr="00FC0EC2" w:rsidRDefault="008771A5" w:rsidP="00085DAB">
            <w:pPr>
              <w:rPr>
                <w:sz w:val="20"/>
                <w:szCs w:val="20"/>
              </w:rPr>
            </w:pPr>
            <w:r w:rsidRPr="00FC0EC2">
              <w:rPr>
                <w:b w:val="0"/>
                <w:sz w:val="20"/>
                <w:szCs w:val="20"/>
              </w:rPr>
              <w:t>External costs</w:t>
            </w:r>
          </w:p>
        </w:tc>
        <w:tc>
          <w:tcPr>
            <w:tcW w:w="6252" w:type="dxa"/>
            <w:shd w:val="clear" w:color="auto" w:fill="auto"/>
          </w:tcPr>
          <w:p w14:paraId="1C8D1E09" w14:textId="77777777" w:rsidR="008771A5" w:rsidRPr="00FC0EC2" w:rsidRDefault="008771A5" w:rsidP="008771A5">
            <w:pPr>
              <w:numPr>
                <w:ilvl w:val="0"/>
                <w:numId w:val="4"/>
              </w:numPr>
              <w:pBdr>
                <w:top w:val="nil"/>
                <w:left w:val="nil"/>
                <w:bottom w:val="nil"/>
                <w:right w:val="nil"/>
                <w:between w:val="nil"/>
              </w:pBdr>
              <w:ind w:left="202" w:hanging="202"/>
              <w:cnfStyle w:val="000000100000" w:firstRow="0" w:lastRow="0" w:firstColumn="0" w:lastColumn="0" w:oddVBand="0" w:evenVBand="0" w:oddHBand="1" w:evenHBand="0" w:firstRowFirstColumn="0" w:firstRowLastColumn="0" w:lastRowFirstColumn="0" w:lastRowLastColumn="0"/>
              <w:rPr>
                <w:color w:val="000000"/>
                <w:sz w:val="20"/>
                <w:szCs w:val="20"/>
              </w:rPr>
            </w:pPr>
            <w:r w:rsidRPr="00FC0EC2">
              <w:rPr>
                <w:color w:val="000000"/>
                <w:sz w:val="20"/>
                <w:szCs w:val="20"/>
              </w:rPr>
              <w:t>Environmental and health cost of the new energy efficient equipment/technology</w:t>
            </w:r>
          </w:p>
        </w:tc>
      </w:tr>
      <w:tr w:rsidR="008771A5" w:rsidRPr="00FC0EC2" w14:paraId="0280A1F5" w14:textId="77777777" w:rsidTr="008771A5">
        <w:trPr>
          <w:trHeight w:val="142"/>
          <w:jc w:val="center"/>
        </w:trPr>
        <w:tc>
          <w:tcPr>
            <w:cnfStyle w:val="001000000000" w:firstRow="0" w:lastRow="0" w:firstColumn="1" w:lastColumn="0" w:oddVBand="0" w:evenVBand="0" w:oddHBand="0" w:evenHBand="0" w:firstRowFirstColumn="0" w:firstRowLastColumn="0" w:lastRowFirstColumn="0" w:lastRowLastColumn="0"/>
            <w:tcW w:w="2774" w:type="dxa"/>
            <w:gridSpan w:val="2"/>
            <w:shd w:val="clear" w:color="auto" w:fill="auto"/>
          </w:tcPr>
          <w:p w14:paraId="01B652C9" w14:textId="77777777" w:rsidR="008771A5" w:rsidRPr="00FC0EC2" w:rsidRDefault="008771A5" w:rsidP="00085DAB">
            <w:pPr>
              <w:rPr>
                <w:sz w:val="20"/>
                <w:szCs w:val="20"/>
              </w:rPr>
            </w:pPr>
            <w:r w:rsidRPr="00FC0EC2">
              <w:rPr>
                <w:b w:val="0"/>
                <w:sz w:val="20"/>
                <w:szCs w:val="20"/>
              </w:rPr>
              <w:t>External benefits</w:t>
            </w:r>
          </w:p>
        </w:tc>
        <w:tc>
          <w:tcPr>
            <w:tcW w:w="6252" w:type="dxa"/>
            <w:shd w:val="clear" w:color="auto" w:fill="auto"/>
          </w:tcPr>
          <w:p w14:paraId="4A92A0FE" w14:textId="77777777" w:rsidR="008771A5" w:rsidRPr="00FC0EC2" w:rsidRDefault="008771A5" w:rsidP="008771A5">
            <w:pPr>
              <w:numPr>
                <w:ilvl w:val="0"/>
                <w:numId w:val="4"/>
              </w:numPr>
              <w:pBdr>
                <w:top w:val="nil"/>
                <w:left w:val="nil"/>
                <w:bottom w:val="nil"/>
                <w:right w:val="nil"/>
                <w:between w:val="nil"/>
              </w:pBdr>
              <w:ind w:left="202" w:hanging="202"/>
              <w:cnfStyle w:val="000000000000" w:firstRow="0" w:lastRow="0" w:firstColumn="0" w:lastColumn="0" w:oddVBand="0" w:evenVBand="0" w:oddHBand="0" w:evenHBand="0" w:firstRowFirstColumn="0" w:firstRowLastColumn="0" w:lastRowFirstColumn="0" w:lastRowLastColumn="0"/>
              <w:rPr>
                <w:color w:val="000000"/>
                <w:sz w:val="20"/>
                <w:szCs w:val="20"/>
              </w:rPr>
            </w:pPr>
            <w:r w:rsidRPr="00FC0EC2">
              <w:rPr>
                <w:color w:val="000000"/>
                <w:sz w:val="20"/>
                <w:szCs w:val="20"/>
              </w:rPr>
              <w:t>Avoided environmental and health cost of the existing equipment/technology</w:t>
            </w:r>
          </w:p>
          <w:p w14:paraId="7636FE0C" w14:textId="77777777" w:rsidR="008771A5" w:rsidRPr="00FC0EC2" w:rsidRDefault="008771A5" w:rsidP="008771A5">
            <w:pPr>
              <w:numPr>
                <w:ilvl w:val="0"/>
                <w:numId w:val="4"/>
              </w:numPr>
              <w:pBdr>
                <w:top w:val="nil"/>
                <w:left w:val="nil"/>
                <w:bottom w:val="nil"/>
                <w:right w:val="nil"/>
                <w:between w:val="nil"/>
              </w:pBdr>
              <w:ind w:left="202" w:hanging="202"/>
              <w:cnfStyle w:val="000000000000" w:firstRow="0" w:lastRow="0" w:firstColumn="0" w:lastColumn="0" w:oddVBand="0" w:evenVBand="0" w:oddHBand="0" w:evenHBand="0" w:firstRowFirstColumn="0" w:firstRowLastColumn="0" w:lastRowFirstColumn="0" w:lastRowLastColumn="0"/>
              <w:rPr>
                <w:color w:val="000000"/>
                <w:sz w:val="20"/>
                <w:szCs w:val="20"/>
              </w:rPr>
            </w:pPr>
            <w:r w:rsidRPr="00FC0EC2">
              <w:rPr>
                <w:color w:val="000000"/>
                <w:sz w:val="20"/>
                <w:szCs w:val="20"/>
              </w:rPr>
              <w:t>Macroeconomic effects due to the new energy efficient equipment/technology</w:t>
            </w:r>
          </w:p>
          <w:p w14:paraId="36BD1808" w14:textId="77777777" w:rsidR="008771A5" w:rsidRPr="00FC0EC2" w:rsidRDefault="008771A5" w:rsidP="008771A5">
            <w:pPr>
              <w:numPr>
                <w:ilvl w:val="0"/>
                <w:numId w:val="4"/>
              </w:numPr>
              <w:pBdr>
                <w:top w:val="nil"/>
                <w:left w:val="nil"/>
                <w:bottom w:val="nil"/>
                <w:right w:val="nil"/>
                <w:between w:val="nil"/>
              </w:pBdr>
              <w:ind w:left="202" w:hanging="202"/>
              <w:cnfStyle w:val="000000000000" w:firstRow="0" w:lastRow="0" w:firstColumn="0" w:lastColumn="0" w:oddVBand="0" w:evenVBand="0" w:oddHBand="0" w:evenHBand="0" w:firstRowFirstColumn="0" w:firstRowLastColumn="0" w:lastRowFirstColumn="0" w:lastRowLastColumn="0"/>
              <w:rPr>
                <w:color w:val="000000"/>
                <w:sz w:val="20"/>
                <w:szCs w:val="20"/>
              </w:rPr>
            </w:pPr>
            <w:r w:rsidRPr="00FC0EC2">
              <w:rPr>
                <w:color w:val="000000"/>
                <w:sz w:val="20"/>
                <w:szCs w:val="20"/>
              </w:rPr>
              <w:t>Effects due to the improved comfort levels due to the new energy efficient equipment/technology</w:t>
            </w:r>
          </w:p>
          <w:p w14:paraId="0F4FC68C" w14:textId="77777777" w:rsidR="008771A5" w:rsidRPr="00FC0EC2" w:rsidRDefault="008771A5" w:rsidP="008771A5">
            <w:pPr>
              <w:numPr>
                <w:ilvl w:val="0"/>
                <w:numId w:val="4"/>
              </w:numPr>
              <w:pBdr>
                <w:top w:val="nil"/>
                <w:left w:val="nil"/>
                <w:bottom w:val="nil"/>
                <w:right w:val="nil"/>
                <w:between w:val="nil"/>
              </w:pBdr>
              <w:ind w:left="202" w:hanging="202"/>
              <w:cnfStyle w:val="000000000000" w:firstRow="0" w:lastRow="0" w:firstColumn="0" w:lastColumn="0" w:oddVBand="0" w:evenVBand="0" w:oddHBand="0" w:evenHBand="0" w:firstRowFirstColumn="0" w:firstRowLastColumn="0" w:lastRowFirstColumn="0" w:lastRowLastColumn="0"/>
              <w:rPr>
                <w:color w:val="000000"/>
                <w:sz w:val="20"/>
                <w:szCs w:val="20"/>
              </w:rPr>
            </w:pPr>
            <w:r w:rsidRPr="00FC0EC2">
              <w:rPr>
                <w:color w:val="000000"/>
                <w:sz w:val="20"/>
                <w:szCs w:val="20"/>
              </w:rPr>
              <w:t>Increased market value of the renovated buildings</w:t>
            </w:r>
          </w:p>
        </w:tc>
      </w:tr>
      <w:tr w:rsidR="008771A5" w:rsidRPr="00FC0EC2" w14:paraId="37110F7E" w14:textId="77777777" w:rsidTr="008771A5">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2774" w:type="dxa"/>
            <w:gridSpan w:val="2"/>
            <w:shd w:val="clear" w:color="auto" w:fill="auto"/>
          </w:tcPr>
          <w:p w14:paraId="1BD1F738" w14:textId="77777777" w:rsidR="008771A5" w:rsidRPr="00FC0EC2" w:rsidRDefault="008771A5" w:rsidP="00085DAB">
            <w:pPr>
              <w:rPr>
                <w:sz w:val="20"/>
                <w:szCs w:val="20"/>
              </w:rPr>
            </w:pPr>
            <w:r w:rsidRPr="00FC0EC2">
              <w:rPr>
                <w:b w:val="0"/>
                <w:sz w:val="20"/>
                <w:szCs w:val="20"/>
              </w:rPr>
              <w:t>Capital costs</w:t>
            </w:r>
          </w:p>
        </w:tc>
        <w:tc>
          <w:tcPr>
            <w:tcW w:w="6252" w:type="dxa"/>
            <w:shd w:val="clear" w:color="auto" w:fill="auto"/>
          </w:tcPr>
          <w:p w14:paraId="6105D033" w14:textId="77777777" w:rsidR="008771A5" w:rsidRPr="00FC0EC2" w:rsidRDefault="008771A5" w:rsidP="008771A5">
            <w:pPr>
              <w:numPr>
                <w:ilvl w:val="0"/>
                <w:numId w:val="4"/>
              </w:numPr>
              <w:pBdr>
                <w:top w:val="nil"/>
                <w:left w:val="nil"/>
                <w:bottom w:val="nil"/>
                <w:right w:val="nil"/>
                <w:between w:val="nil"/>
              </w:pBdr>
              <w:ind w:left="202" w:hanging="202"/>
              <w:cnfStyle w:val="000000100000" w:firstRow="0" w:lastRow="0" w:firstColumn="0" w:lastColumn="0" w:oddVBand="0" w:evenVBand="0" w:oddHBand="1" w:evenHBand="0" w:firstRowFirstColumn="0" w:firstRowLastColumn="0" w:lastRowFirstColumn="0" w:lastRowLastColumn="0"/>
              <w:rPr>
                <w:color w:val="000000"/>
                <w:sz w:val="20"/>
                <w:szCs w:val="20"/>
              </w:rPr>
            </w:pPr>
            <w:r w:rsidRPr="00FC0EC2">
              <w:rPr>
                <w:color w:val="000000"/>
                <w:sz w:val="20"/>
                <w:szCs w:val="20"/>
              </w:rPr>
              <w:t>Capital cost of the new energy efficient equipment/technology</w:t>
            </w:r>
          </w:p>
        </w:tc>
      </w:tr>
    </w:tbl>
    <w:p w14:paraId="63A9705B" w14:textId="77777777" w:rsidR="008771A5" w:rsidRDefault="008771A5" w:rsidP="008771A5"/>
    <w:p w14:paraId="3DFC355C" w14:textId="77777777" w:rsidR="008771A5" w:rsidRPr="008771A5" w:rsidRDefault="008771A5" w:rsidP="008771A5">
      <w:pPr>
        <w:pStyle w:val="Heading3"/>
      </w:pPr>
      <w:r w:rsidRPr="008771A5">
        <w:lastRenderedPageBreak/>
        <w:t xml:space="preserve">Step 6: Calculate the evaluation indicators </w:t>
      </w:r>
    </w:p>
    <w:p w14:paraId="0F97DBCC" w14:textId="77777777" w:rsidR="008771A5" w:rsidRPr="008771A5" w:rsidRDefault="008771A5" w:rsidP="008771A5">
      <w:pPr>
        <w:spacing w:before="120" w:after="120"/>
        <w:rPr>
          <w:color w:val="000000" w:themeColor="text1" w:themeShade="80"/>
        </w:rPr>
      </w:pPr>
      <w:r w:rsidRPr="008771A5">
        <w:rPr>
          <w:color w:val="000000" w:themeColor="text1" w:themeShade="80"/>
        </w:rPr>
        <w:t xml:space="preserve">Using the above-mentioned assumptions and collected data the differences in costs and benefits between baseline and the alternative Scenario are assessed according to the following equations: </w:t>
      </w:r>
    </w:p>
    <w:p w14:paraId="4FD7DEA0" w14:textId="77777777" w:rsidR="008771A5" w:rsidRPr="008771A5" w:rsidRDefault="00000000" w:rsidP="008771A5">
      <w:pPr>
        <w:pStyle w:val="Caption"/>
        <w:ind w:left="2138"/>
        <w:rPr>
          <w:b/>
          <w:color w:val="000000" w:themeColor="text1"/>
          <w:sz w:val="20"/>
          <w:szCs w:val="21"/>
          <w:vertAlign w:val="subscript"/>
        </w:rPr>
      </w:pPr>
      <m:oMath>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Cost</m:t>
            </m:r>
          </m:e>
          <m:sub>
            <m:r>
              <m:rPr>
                <m:sty m:val="bi"/>
              </m:rPr>
              <w:rPr>
                <w:rFonts w:ascii="Cambria Math" w:hAnsi="Cambria Math"/>
                <w:color w:val="000000" w:themeColor="text1"/>
                <w:sz w:val="21"/>
                <w:szCs w:val="21"/>
              </w:rPr>
              <m:t>t</m:t>
            </m:r>
          </m:sub>
        </m:sSub>
        <m:r>
          <m:rPr>
            <m:sty m:val="bi"/>
          </m:rPr>
          <w:rPr>
            <w:rFonts w:ascii="Cambria Math" w:hAnsi="Cambria Math"/>
            <w:color w:val="000000" w:themeColor="text1"/>
            <w:sz w:val="21"/>
            <w:szCs w:val="21"/>
          </w:rPr>
          <m:t xml:space="preserve">= </m:t>
        </m:r>
      </m:oMath>
      <w:r w:rsidR="008771A5" w:rsidRPr="008771A5">
        <w:rPr>
          <w:color w:val="000000" w:themeColor="text1"/>
          <w:sz w:val="20"/>
          <w:szCs w:val="21"/>
        </w:rPr>
        <w:t xml:space="preserve">  </w:t>
      </w:r>
      <m:oMath>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Cost</m:t>
                </m:r>
              </m:e>
              <m:sub>
                <m:r>
                  <m:rPr>
                    <m:sty m:val="bi"/>
                  </m:rPr>
                  <w:rPr>
                    <w:rFonts w:ascii="Cambria Math" w:hAnsi="Cambria Math"/>
                    <w:color w:val="000000" w:themeColor="text1"/>
                    <w:sz w:val="21"/>
                    <w:szCs w:val="21"/>
                  </w:rPr>
                  <m:t>t</m:t>
                </m:r>
              </m:sub>
            </m:sSub>
            <m:r>
              <m:rPr>
                <m:sty m:val="bi"/>
              </m:rPr>
              <w:rPr>
                <w:rFonts w:ascii="Cambria Math" w:hAnsi="Cambria Math"/>
                <w:color w:val="000000" w:themeColor="text1"/>
                <w:sz w:val="21"/>
                <w:szCs w:val="21"/>
              </w:rPr>
              <m:t xml:space="preserve"> ]</m:t>
            </m:r>
          </m:e>
          <m:sub>
            <m:r>
              <m:rPr>
                <m:sty m:val="bi"/>
              </m:rPr>
              <w:rPr>
                <w:rFonts w:ascii="Cambria Math" w:hAnsi="Cambria Math"/>
                <w:color w:val="000000" w:themeColor="text1"/>
                <w:sz w:val="21"/>
                <w:szCs w:val="21"/>
              </w:rPr>
              <m:t>alternative</m:t>
            </m:r>
          </m:sub>
        </m:sSub>
      </m:oMath>
      <w:r w:rsidR="008771A5" w:rsidRPr="008771A5">
        <w:rPr>
          <w:color w:val="000000" w:themeColor="text1"/>
          <w:sz w:val="20"/>
          <w:szCs w:val="21"/>
        </w:rPr>
        <w:t xml:space="preserve"> </w:t>
      </w:r>
      <m:oMath>
        <m:r>
          <m:rPr>
            <m:sty m:val="bi"/>
          </m:rPr>
          <w:rPr>
            <w:rFonts w:ascii="Cambria Math" w:hAnsi="Cambria Math"/>
            <w:color w:val="000000" w:themeColor="text1"/>
            <w:sz w:val="21"/>
            <w:szCs w:val="21"/>
          </w:rPr>
          <m:t>-</m:t>
        </m:r>
      </m:oMath>
      <w:r w:rsidR="008771A5" w:rsidRPr="008771A5">
        <w:rPr>
          <w:color w:val="000000" w:themeColor="text1"/>
          <w:sz w:val="20"/>
          <w:szCs w:val="21"/>
        </w:rPr>
        <w:t xml:space="preserve"> </w:t>
      </w:r>
      <m:oMath>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Cost</m:t>
                </m:r>
              </m:e>
              <m:sub>
                <m:r>
                  <m:rPr>
                    <m:sty m:val="bi"/>
                  </m:rPr>
                  <w:rPr>
                    <w:rFonts w:ascii="Cambria Math" w:hAnsi="Cambria Math"/>
                    <w:color w:val="000000" w:themeColor="text1"/>
                    <w:sz w:val="21"/>
                    <w:szCs w:val="21"/>
                  </w:rPr>
                  <m:t>t</m:t>
                </m:r>
              </m:sub>
            </m:sSub>
            <m:r>
              <m:rPr>
                <m:sty m:val="bi"/>
              </m:rPr>
              <w:rPr>
                <w:rFonts w:ascii="Cambria Math" w:hAnsi="Cambria Math"/>
                <w:color w:val="000000" w:themeColor="text1"/>
                <w:sz w:val="21"/>
                <w:szCs w:val="21"/>
              </w:rPr>
              <m:t xml:space="preserve"> ]</m:t>
            </m:r>
          </m:e>
          <m:sub>
            <m:r>
              <m:rPr>
                <m:sty m:val="bi"/>
              </m:rPr>
              <w:rPr>
                <w:rFonts w:ascii="Cambria Math" w:hAnsi="Cambria Math"/>
                <w:color w:val="000000" w:themeColor="text1"/>
                <w:sz w:val="21"/>
                <w:szCs w:val="21"/>
              </w:rPr>
              <m:t>baseline</m:t>
            </m:r>
          </m:sub>
        </m:sSub>
      </m:oMath>
      <w:r w:rsidR="008771A5" w:rsidRPr="008771A5">
        <w:rPr>
          <w:color w:val="000000" w:themeColor="text1"/>
          <w:sz w:val="20"/>
          <w:szCs w:val="21"/>
        </w:rPr>
        <w:t xml:space="preserve"> </w:t>
      </w:r>
      <w:r w:rsidR="008771A5" w:rsidRPr="008771A5">
        <w:rPr>
          <w:color w:val="000000" w:themeColor="text1"/>
          <w:sz w:val="20"/>
          <w:szCs w:val="21"/>
        </w:rPr>
        <w:tab/>
      </w:r>
      <w:r w:rsidR="008771A5" w:rsidRPr="008771A5">
        <w:rPr>
          <w:color w:val="000000" w:themeColor="text1"/>
          <w:sz w:val="20"/>
          <w:szCs w:val="21"/>
        </w:rPr>
        <w:tab/>
      </w:r>
      <w:r w:rsidR="008771A5" w:rsidRPr="008771A5">
        <w:rPr>
          <w:color w:val="000000" w:themeColor="text1"/>
          <w:sz w:val="20"/>
          <w:szCs w:val="21"/>
        </w:rPr>
        <w:tab/>
      </w:r>
      <w:r w:rsidR="008771A5" w:rsidRPr="008771A5">
        <w:rPr>
          <w:color w:val="000000" w:themeColor="text1"/>
          <w:sz w:val="20"/>
          <w:szCs w:val="21"/>
        </w:rPr>
        <w:tab/>
      </w:r>
      <w:r w:rsidR="008771A5" w:rsidRPr="008771A5">
        <w:rPr>
          <w:color w:val="000000" w:themeColor="text1"/>
          <w:sz w:val="20"/>
          <w:szCs w:val="21"/>
        </w:rPr>
        <w:tab/>
      </w:r>
      <w:r w:rsidR="008771A5" w:rsidRPr="008771A5">
        <w:rPr>
          <w:color w:val="000000" w:themeColor="text1"/>
          <w:sz w:val="20"/>
          <w:szCs w:val="21"/>
        </w:rPr>
        <w:tab/>
      </w:r>
      <w:r w:rsidR="008771A5" w:rsidRPr="008771A5">
        <w:rPr>
          <w:i w:val="0"/>
          <w:color w:val="000000" w:themeColor="text1"/>
          <w:sz w:val="20"/>
          <w:szCs w:val="21"/>
        </w:rPr>
        <w:t>(</w:t>
      </w:r>
      <w:r w:rsidR="008771A5" w:rsidRPr="008771A5">
        <w:rPr>
          <w:b/>
          <w:i w:val="0"/>
          <w:color w:val="000000" w:themeColor="text1"/>
          <w:sz w:val="20"/>
          <w:szCs w:val="21"/>
        </w:rPr>
        <w:fldChar w:fldCharType="begin"/>
      </w:r>
      <w:r w:rsidR="008771A5" w:rsidRPr="008771A5">
        <w:rPr>
          <w:color w:val="000000" w:themeColor="text1"/>
          <w:sz w:val="20"/>
          <w:szCs w:val="21"/>
        </w:rPr>
        <w:instrText xml:space="preserve"> SEQ Equation \* ARABIC </w:instrText>
      </w:r>
      <w:r w:rsidR="008771A5" w:rsidRPr="008771A5">
        <w:rPr>
          <w:b/>
          <w:i w:val="0"/>
          <w:color w:val="000000" w:themeColor="text1"/>
          <w:sz w:val="20"/>
          <w:szCs w:val="21"/>
        </w:rPr>
        <w:fldChar w:fldCharType="separate"/>
      </w:r>
      <w:r w:rsidR="008771A5" w:rsidRPr="008771A5">
        <w:rPr>
          <w:noProof/>
          <w:color w:val="000000" w:themeColor="text1"/>
          <w:sz w:val="20"/>
          <w:szCs w:val="21"/>
        </w:rPr>
        <w:t>1</w:t>
      </w:r>
      <w:r w:rsidR="008771A5" w:rsidRPr="008771A5">
        <w:rPr>
          <w:b/>
          <w:i w:val="0"/>
          <w:color w:val="000000" w:themeColor="text1"/>
          <w:sz w:val="20"/>
          <w:szCs w:val="21"/>
        </w:rPr>
        <w:fldChar w:fldCharType="end"/>
      </w:r>
      <w:r w:rsidR="008771A5" w:rsidRPr="008771A5">
        <w:rPr>
          <w:i w:val="0"/>
          <w:color w:val="000000" w:themeColor="text1"/>
          <w:sz w:val="20"/>
          <w:szCs w:val="21"/>
        </w:rPr>
        <w:t>)</w:t>
      </w:r>
    </w:p>
    <w:p w14:paraId="27847ED6" w14:textId="77777777" w:rsidR="008771A5" w:rsidRPr="008771A5" w:rsidRDefault="00000000" w:rsidP="008771A5">
      <w:pPr>
        <w:pStyle w:val="Caption"/>
        <w:ind w:left="2138"/>
        <w:rPr>
          <w:sz w:val="20"/>
          <w:szCs w:val="21"/>
          <w:vertAlign w:val="subscript"/>
        </w:rPr>
      </w:pPr>
      <m:oMath>
        <m:sSub>
          <m:sSubPr>
            <m:ctrlPr>
              <w:rPr>
                <w:rFonts w:ascii="Cambria Math" w:hAnsi="Cambria Math"/>
                <w:i w:val="0"/>
                <w:color w:val="000000" w:themeColor="text1"/>
                <w:sz w:val="21"/>
                <w:szCs w:val="21"/>
              </w:rPr>
            </m:ctrlPr>
          </m:sSubPr>
          <m:e>
            <m:r>
              <m:rPr>
                <m:sty m:val="bi"/>
              </m:rPr>
              <w:rPr>
                <w:rFonts w:ascii="Cambria Math" w:hAnsi="Cambria Math"/>
                <w:color w:val="000000" w:themeColor="text1"/>
                <w:sz w:val="21"/>
                <w:szCs w:val="21"/>
              </w:rPr>
              <m:t>Benefit</m:t>
            </m:r>
          </m:e>
          <m:sub>
            <m:r>
              <m:rPr>
                <m:sty m:val="bi"/>
              </m:rPr>
              <w:rPr>
                <w:rFonts w:ascii="Cambria Math" w:hAnsi="Cambria Math"/>
                <w:color w:val="000000" w:themeColor="text1"/>
                <w:sz w:val="21"/>
                <w:szCs w:val="21"/>
              </w:rPr>
              <m:t>t</m:t>
            </m:r>
          </m:sub>
        </m:sSub>
        <m:r>
          <m:rPr>
            <m:sty m:val="bi"/>
          </m:rPr>
          <w:rPr>
            <w:rFonts w:ascii="Cambria Math" w:hAnsi="Cambria Math"/>
            <w:color w:val="000000" w:themeColor="text1"/>
            <w:sz w:val="21"/>
            <w:szCs w:val="21"/>
          </w:rPr>
          <m:t xml:space="preserve"> = </m:t>
        </m:r>
      </m:oMath>
      <w:r w:rsidR="008771A5" w:rsidRPr="008771A5">
        <w:rPr>
          <w:color w:val="000000" w:themeColor="text1"/>
          <w:sz w:val="20"/>
          <w:szCs w:val="21"/>
        </w:rPr>
        <w:t xml:space="preserve"> </w:t>
      </w:r>
      <m:oMath>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Benefit</m:t>
                </m:r>
              </m:e>
              <m:sub>
                <m:r>
                  <m:rPr>
                    <m:sty m:val="bi"/>
                  </m:rPr>
                  <w:rPr>
                    <w:rFonts w:ascii="Cambria Math" w:hAnsi="Cambria Math"/>
                    <w:color w:val="000000" w:themeColor="text1"/>
                    <w:sz w:val="21"/>
                    <w:szCs w:val="21"/>
                  </w:rPr>
                  <m:t>t</m:t>
                </m:r>
              </m:sub>
            </m:sSub>
            <m:r>
              <m:rPr>
                <m:sty m:val="bi"/>
              </m:rPr>
              <w:rPr>
                <w:rFonts w:ascii="Cambria Math" w:hAnsi="Cambria Math"/>
                <w:color w:val="000000" w:themeColor="text1"/>
                <w:sz w:val="21"/>
                <w:szCs w:val="21"/>
              </w:rPr>
              <m:t xml:space="preserve"> ]</m:t>
            </m:r>
          </m:e>
          <m:sub>
            <m:r>
              <m:rPr>
                <m:sty m:val="bi"/>
              </m:rPr>
              <w:rPr>
                <w:rFonts w:ascii="Cambria Math" w:hAnsi="Cambria Math"/>
                <w:color w:val="000000" w:themeColor="text1"/>
                <w:sz w:val="21"/>
                <w:szCs w:val="21"/>
              </w:rPr>
              <m:t>alternative</m:t>
            </m:r>
          </m:sub>
        </m:sSub>
      </m:oMath>
      <w:r w:rsidR="008771A5" w:rsidRPr="008771A5">
        <w:rPr>
          <w:color w:val="000000" w:themeColor="text1"/>
          <w:sz w:val="20"/>
          <w:szCs w:val="21"/>
        </w:rPr>
        <w:t xml:space="preserve"> </w:t>
      </w:r>
      <m:oMath>
        <m:r>
          <m:rPr>
            <m:sty m:val="bi"/>
          </m:rPr>
          <w:rPr>
            <w:rFonts w:ascii="Cambria Math" w:hAnsi="Cambria Math"/>
            <w:color w:val="000000" w:themeColor="text1"/>
            <w:sz w:val="21"/>
            <w:szCs w:val="21"/>
          </w:rPr>
          <m:t>-</m:t>
        </m:r>
      </m:oMath>
      <w:r w:rsidR="008771A5" w:rsidRPr="008771A5">
        <w:rPr>
          <w:color w:val="000000" w:themeColor="text1"/>
          <w:sz w:val="20"/>
          <w:szCs w:val="21"/>
        </w:rPr>
        <w:t xml:space="preserve"> </w:t>
      </w:r>
      <m:oMath>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m:t>
            </m:r>
            <m:sSub>
              <m:sSubPr>
                <m:ctrlPr>
                  <w:rPr>
                    <w:rFonts w:ascii="Cambria Math" w:hAnsi="Cambria Math"/>
                    <w:color w:val="000000" w:themeColor="text1"/>
                    <w:sz w:val="21"/>
                    <w:szCs w:val="21"/>
                  </w:rPr>
                </m:ctrlPr>
              </m:sSubPr>
              <m:e>
                <m:r>
                  <m:rPr>
                    <m:sty m:val="bi"/>
                  </m:rPr>
                  <w:rPr>
                    <w:rFonts w:ascii="Cambria Math" w:hAnsi="Cambria Math"/>
                    <w:color w:val="000000" w:themeColor="text1"/>
                    <w:sz w:val="21"/>
                    <w:szCs w:val="21"/>
                  </w:rPr>
                  <m:t>Benefit</m:t>
                </m:r>
              </m:e>
              <m:sub>
                <m:r>
                  <m:rPr>
                    <m:sty m:val="bi"/>
                  </m:rPr>
                  <w:rPr>
                    <w:rFonts w:ascii="Cambria Math" w:hAnsi="Cambria Math"/>
                    <w:color w:val="000000" w:themeColor="text1"/>
                    <w:sz w:val="21"/>
                    <w:szCs w:val="21"/>
                  </w:rPr>
                  <m:t>t</m:t>
                </m:r>
              </m:sub>
            </m:sSub>
            <m:r>
              <m:rPr>
                <m:sty m:val="bi"/>
              </m:rPr>
              <w:rPr>
                <w:rFonts w:ascii="Cambria Math" w:hAnsi="Cambria Math"/>
                <w:color w:val="000000" w:themeColor="text1"/>
                <w:sz w:val="21"/>
                <w:szCs w:val="21"/>
              </w:rPr>
              <m:t xml:space="preserve"> ]</m:t>
            </m:r>
          </m:e>
          <m:sub>
            <m:r>
              <m:rPr>
                <m:sty m:val="bi"/>
              </m:rPr>
              <w:rPr>
                <w:rFonts w:ascii="Cambria Math" w:hAnsi="Cambria Math"/>
                <w:color w:val="000000" w:themeColor="text1"/>
                <w:sz w:val="21"/>
                <w:szCs w:val="21"/>
              </w:rPr>
              <m:t>baseline</m:t>
            </m:r>
          </m:sub>
        </m:sSub>
      </m:oMath>
      <w:r w:rsidR="008771A5" w:rsidRPr="008771A5">
        <w:rPr>
          <w:sz w:val="21"/>
          <w:szCs w:val="21"/>
        </w:rPr>
        <w:tab/>
      </w:r>
      <w:r w:rsidR="008771A5" w:rsidRPr="008771A5">
        <w:rPr>
          <w:sz w:val="21"/>
          <w:szCs w:val="21"/>
        </w:rPr>
        <w:tab/>
      </w:r>
      <w:r w:rsidR="008771A5" w:rsidRPr="008771A5">
        <w:rPr>
          <w:sz w:val="21"/>
          <w:szCs w:val="21"/>
        </w:rPr>
        <w:tab/>
      </w:r>
      <w:r w:rsidR="008771A5" w:rsidRPr="008771A5">
        <w:rPr>
          <w:sz w:val="21"/>
          <w:szCs w:val="21"/>
        </w:rPr>
        <w:tab/>
      </w:r>
      <w:r w:rsidR="008771A5" w:rsidRPr="008771A5">
        <w:rPr>
          <w:i w:val="0"/>
          <w:sz w:val="21"/>
          <w:szCs w:val="21"/>
        </w:rPr>
        <w:t>(</w:t>
      </w:r>
      <w:r w:rsidR="008771A5" w:rsidRPr="008771A5">
        <w:rPr>
          <w:b/>
          <w:i w:val="0"/>
          <w:sz w:val="21"/>
          <w:szCs w:val="21"/>
        </w:rPr>
        <w:fldChar w:fldCharType="begin"/>
      </w:r>
      <w:r w:rsidR="008771A5" w:rsidRPr="008771A5">
        <w:rPr>
          <w:sz w:val="21"/>
          <w:szCs w:val="21"/>
        </w:rPr>
        <w:instrText xml:space="preserve"> SEQ Equation \* ARABIC </w:instrText>
      </w:r>
      <w:r w:rsidR="008771A5" w:rsidRPr="008771A5">
        <w:rPr>
          <w:b/>
          <w:i w:val="0"/>
          <w:sz w:val="21"/>
          <w:szCs w:val="21"/>
        </w:rPr>
        <w:fldChar w:fldCharType="separate"/>
      </w:r>
      <w:r w:rsidR="008771A5" w:rsidRPr="008771A5">
        <w:rPr>
          <w:noProof/>
          <w:sz w:val="21"/>
          <w:szCs w:val="21"/>
        </w:rPr>
        <w:t>2</w:t>
      </w:r>
      <w:r w:rsidR="008771A5" w:rsidRPr="008771A5">
        <w:rPr>
          <w:b/>
          <w:i w:val="0"/>
          <w:sz w:val="21"/>
          <w:szCs w:val="21"/>
        </w:rPr>
        <w:fldChar w:fldCharType="end"/>
      </w:r>
      <w:r w:rsidR="008771A5" w:rsidRPr="008771A5">
        <w:rPr>
          <w:i w:val="0"/>
          <w:sz w:val="21"/>
          <w:szCs w:val="21"/>
        </w:rPr>
        <w:t>)</w:t>
      </w:r>
    </w:p>
    <w:p w14:paraId="2102A200" w14:textId="77777777" w:rsidR="008771A5" w:rsidRPr="008771A5" w:rsidRDefault="008771A5" w:rsidP="008771A5">
      <w:pPr>
        <w:spacing w:before="120" w:after="120"/>
      </w:pPr>
      <w:r w:rsidRPr="008771A5">
        <w:t xml:space="preserve">The following inputs are used in the calculations of the CBA: </w:t>
      </w:r>
    </w:p>
    <w:p w14:paraId="7D0D8DB2" w14:textId="77777777" w:rsidR="008771A5" w:rsidRPr="008771A5" w:rsidRDefault="008771A5" w:rsidP="008771A5">
      <w:pPr>
        <w:pStyle w:val="ListParagraph"/>
        <w:numPr>
          <w:ilvl w:val="0"/>
          <w:numId w:val="5"/>
        </w:numPr>
        <w:spacing w:after="120" w:line="240" w:lineRule="auto"/>
        <w:ind w:left="720"/>
        <w:rPr>
          <w:color w:val="1F1F1F"/>
        </w:rPr>
      </w:pPr>
      <w:r w:rsidRPr="008771A5">
        <w:rPr>
          <w:color w:val="1F1F1F"/>
        </w:rPr>
        <w:t xml:space="preserve">The energy </w:t>
      </w:r>
      <w:r w:rsidRPr="008771A5">
        <w:rPr>
          <w:color w:val="000000" w:themeColor="text1" w:themeShade="80"/>
        </w:rPr>
        <w:t>efficient</w:t>
      </w:r>
      <w:r w:rsidRPr="008771A5">
        <w:rPr>
          <w:color w:val="1F1F1F"/>
        </w:rPr>
        <w:t xml:space="preserve"> equipment/technology for average-income group of households is assessed within the alternative Scenario and the existing equipment/technology within the </w:t>
      </w:r>
      <w:sdt>
        <w:sdtPr>
          <w:tag w:val="goog_rdk_22"/>
          <w:id w:val="944508716"/>
        </w:sdtPr>
        <w:sdtContent/>
      </w:sdt>
      <w:r w:rsidRPr="008771A5">
        <w:rPr>
          <w:color w:val="1F1F1F"/>
        </w:rPr>
        <w:t>baseline Scenario</w:t>
      </w:r>
    </w:p>
    <w:p w14:paraId="0C01F29C" w14:textId="77777777" w:rsidR="008771A5" w:rsidRPr="008771A5" w:rsidRDefault="008771A5" w:rsidP="008771A5">
      <w:pPr>
        <w:pStyle w:val="ListParagraph"/>
        <w:numPr>
          <w:ilvl w:val="0"/>
          <w:numId w:val="5"/>
        </w:numPr>
        <w:spacing w:after="120" w:line="240" w:lineRule="auto"/>
        <w:ind w:left="720"/>
        <w:rPr>
          <w:color w:val="000000" w:themeColor="text1" w:themeShade="80"/>
        </w:rPr>
      </w:pPr>
      <w:r w:rsidRPr="008771A5">
        <w:rPr>
          <w:color w:val="000000" w:themeColor="text1" w:themeShade="80"/>
        </w:rPr>
        <w:t>The total cost and benefits of each year is the result of adding the value of all categories of costs and benefits, while the time frame of the analysis depicts the lifetime of the longest living asset.</w:t>
      </w:r>
    </w:p>
    <w:p w14:paraId="41C4F169" w14:textId="77777777" w:rsidR="008771A5" w:rsidRPr="008771A5" w:rsidRDefault="008771A5" w:rsidP="008771A5">
      <w:pPr>
        <w:pStyle w:val="ListParagraph"/>
        <w:numPr>
          <w:ilvl w:val="0"/>
          <w:numId w:val="5"/>
        </w:numPr>
        <w:spacing w:after="120" w:line="240" w:lineRule="auto"/>
        <w:ind w:left="720"/>
        <w:rPr>
          <w:color w:val="000000" w:themeColor="text1" w:themeShade="80"/>
        </w:rPr>
      </w:pPr>
      <w:r w:rsidRPr="008771A5">
        <w:rPr>
          <w:color w:val="000000" w:themeColor="text1" w:themeShade="80"/>
        </w:rPr>
        <w:t xml:space="preserve">The discount rate is the parameter to estimate the value of future costs and benefits compared to present ones incorporating the social perspective on how future benefits and costs should be valued against present ones. </w:t>
      </w:r>
      <w:r w:rsidRPr="008771A5">
        <w:rPr>
          <w:rStyle w:val="ui-provider"/>
        </w:rPr>
        <w:t>A common discount factor equal to 3% has been selected to assess the economic and social effectiveness of the examined scenarios. The specification of the discount factor was done considering the opportunity cost of the households, which is lower than the selected value.</w:t>
      </w:r>
    </w:p>
    <w:p w14:paraId="3B6E1F76" w14:textId="4DDE05C6" w:rsidR="008771A5" w:rsidRPr="008771A5" w:rsidRDefault="008771A5" w:rsidP="008771A5">
      <w:pPr>
        <w:pStyle w:val="ListParagraph"/>
        <w:numPr>
          <w:ilvl w:val="0"/>
          <w:numId w:val="5"/>
        </w:numPr>
        <w:spacing w:after="120" w:line="240" w:lineRule="auto"/>
        <w:ind w:left="720"/>
        <w:rPr>
          <w:color w:val="000000" w:themeColor="text1" w:themeShade="80"/>
        </w:rPr>
      </w:pPr>
      <w:r w:rsidRPr="008771A5">
        <w:rPr>
          <w:color w:val="000000" w:themeColor="text1" w:themeShade="80"/>
        </w:rPr>
        <w:t xml:space="preserve">The Net Present Value is calculated subtracting the expected </w:t>
      </w:r>
      <w:r w:rsidR="003A59DD">
        <w:rPr>
          <w:color w:val="000000" w:themeColor="text1" w:themeShade="80"/>
        </w:rPr>
        <w:t>costs</w:t>
      </w:r>
      <w:r w:rsidRPr="008771A5">
        <w:rPr>
          <w:color w:val="000000" w:themeColor="text1" w:themeShade="80"/>
        </w:rPr>
        <w:t xml:space="preserve"> from the incurred </w:t>
      </w:r>
      <w:r w:rsidR="00C06C48">
        <w:rPr>
          <w:color w:val="000000" w:themeColor="text1" w:themeShade="80"/>
        </w:rPr>
        <w:t>benefits</w:t>
      </w:r>
      <w:r w:rsidRPr="008771A5">
        <w:rPr>
          <w:color w:val="000000" w:themeColor="text1" w:themeShade="80"/>
        </w:rPr>
        <w:t xml:space="preserve"> discounted with a proper discount rate according to the following equation:</w:t>
      </w:r>
    </w:p>
    <w:p w14:paraId="0AB9D54D" w14:textId="77777777" w:rsidR="008771A5" w:rsidRPr="008771A5" w:rsidRDefault="008771A5" w:rsidP="008771A5">
      <w:pPr>
        <w:spacing w:before="120" w:after="120"/>
        <w:rPr>
          <w:i/>
        </w:rPr>
      </w:pPr>
      <m:oMathPara>
        <m:oMath>
          <m:r>
            <w:rPr>
              <w:rFonts w:ascii="Cambria Math" w:hAnsi="Cambria Math"/>
            </w:rPr>
            <m:t>NPV=</m:t>
          </m:r>
          <m:f>
            <m:fPr>
              <m:ctrlPr>
                <w:rPr>
                  <w:rFonts w:ascii="Cambria Math" w:hAnsi="Cambria Math"/>
                  <w:i/>
                </w:rPr>
              </m:ctrlPr>
            </m:fPr>
            <m:num>
              <m:sSub>
                <m:sSubPr>
                  <m:ctrlPr>
                    <w:rPr>
                      <w:rFonts w:ascii="Cambria Math" w:hAnsi="Cambria Math"/>
                      <w:i/>
                    </w:rPr>
                  </m:ctrlPr>
                </m:sSubPr>
                <m:e>
                  <m:r>
                    <w:rPr>
                      <w:rFonts w:ascii="Cambria Math" w:hAnsi="Cambria Math"/>
                    </w:rPr>
                    <m:t>Benefit</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Costs</m:t>
                  </m:r>
                </m:e>
                <m:sub>
                  <m:r>
                    <w:rPr>
                      <w:rFonts w:ascii="Cambria Math" w:hAnsi="Cambria Math"/>
                    </w:rPr>
                    <m:t>t</m:t>
                  </m:r>
                </m:sub>
              </m:sSub>
            </m:num>
            <m:den>
              <m:sSup>
                <m:sSupPr>
                  <m:ctrlPr>
                    <w:rPr>
                      <w:rFonts w:ascii="Cambria Math" w:hAnsi="Cambria Math"/>
                      <w:i/>
                    </w:rPr>
                  </m:ctrlPr>
                </m:sSupPr>
                <m:e>
                  <m:r>
                    <w:rPr>
                      <w:rFonts w:ascii="Cambria Math" w:hAnsi="Cambria Math"/>
                    </w:rPr>
                    <m:t>(1+r)</m:t>
                  </m:r>
                </m:e>
                <m:sup>
                  <m:r>
                    <w:rPr>
                      <w:rFonts w:ascii="Cambria Math" w:hAnsi="Cambria Math"/>
                    </w:rPr>
                    <m:t>t</m:t>
                  </m:r>
                </m:sup>
              </m:sSup>
            </m:den>
          </m:f>
        </m:oMath>
      </m:oMathPara>
    </w:p>
    <w:p w14:paraId="16389FE0" w14:textId="77777777" w:rsidR="008771A5" w:rsidRPr="008771A5" w:rsidRDefault="008771A5" w:rsidP="008771A5"/>
    <w:p w14:paraId="155A10FF" w14:textId="77777777" w:rsidR="008771A5" w:rsidRPr="008771A5" w:rsidRDefault="008771A5" w:rsidP="008771A5">
      <w:pPr>
        <w:spacing w:before="120" w:after="120"/>
      </w:pPr>
      <w:r w:rsidRPr="008771A5">
        <w:t>The results of the CBA are given using three different indicators (NPV, IRR, B/C).</w:t>
      </w:r>
    </w:p>
    <w:p w14:paraId="3B4AB817" w14:textId="77777777" w:rsidR="008771A5" w:rsidRPr="008771A5" w:rsidRDefault="008771A5" w:rsidP="008771A5"/>
    <w:p w14:paraId="3C851FB3" w14:textId="77777777" w:rsidR="008771A5" w:rsidRPr="008771A5" w:rsidRDefault="008771A5" w:rsidP="008771A5">
      <w:pPr>
        <w:pStyle w:val="paragraph"/>
        <w:spacing w:before="0" w:beforeAutospacing="0" w:after="0" w:afterAutospacing="0"/>
        <w:jc w:val="both"/>
        <w:textAlignment w:val="baseline"/>
        <w:rPr>
          <w:rFonts w:asciiTheme="minorHAnsi" w:hAnsiTheme="minorHAnsi" w:cstheme="minorBidi"/>
          <w:sz w:val="18"/>
          <w:szCs w:val="18"/>
          <w:lang w:val="en-GB"/>
        </w:rPr>
      </w:pPr>
      <w:r w:rsidRPr="008771A5">
        <w:rPr>
          <w:rStyle w:val="normaltextrun"/>
          <w:rFonts w:asciiTheme="minorHAnsi" w:hAnsiTheme="minorHAnsi" w:cstheme="minorBidi"/>
          <w:sz w:val="22"/>
          <w:szCs w:val="22"/>
          <w:lang w:val="en-GB"/>
        </w:rPr>
        <w:t>Regarding the indicators of the analysis based on which the comparison is made</w:t>
      </w:r>
      <w:r w:rsidRPr="008771A5">
        <w:rPr>
          <w:rStyle w:val="eop"/>
          <w:rFonts w:asciiTheme="minorHAnsi" w:eastAsiaTheme="majorEastAsia" w:hAnsiTheme="minorHAnsi" w:cstheme="minorBidi"/>
          <w:sz w:val="22"/>
          <w:szCs w:val="22"/>
          <w:lang w:val="en-GB"/>
        </w:rPr>
        <w:t> </w:t>
      </w:r>
    </w:p>
    <w:p w14:paraId="5A1DEB98" w14:textId="77777777" w:rsidR="008771A5" w:rsidRPr="008771A5" w:rsidRDefault="008771A5" w:rsidP="008771A5">
      <w:pPr>
        <w:pStyle w:val="paragraph"/>
        <w:spacing w:before="0" w:beforeAutospacing="0" w:after="0" w:afterAutospacing="0"/>
        <w:jc w:val="both"/>
        <w:textAlignment w:val="baseline"/>
        <w:rPr>
          <w:rStyle w:val="normaltextrun"/>
          <w:rFonts w:asciiTheme="minorHAnsi" w:hAnsiTheme="minorHAnsi" w:cstheme="minorBidi"/>
          <w:sz w:val="22"/>
          <w:szCs w:val="22"/>
          <w:lang w:val="en-GB"/>
        </w:rPr>
      </w:pPr>
    </w:p>
    <w:p w14:paraId="48E410B1" w14:textId="08A4F6A7" w:rsidR="008771A5" w:rsidRPr="008771A5" w:rsidRDefault="008771A5" w:rsidP="008771A5">
      <w:pPr>
        <w:pStyle w:val="paragraph"/>
        <w:numPr>
          <w:ilvl w:val="0"/>
          <w:numId w:val="6"/>
        </w:numPr>
        <w:spacing w:before="0" w:beforeAutospacing="0" w:after="0" w:afterAutospacing="0"/>
        <w:jc w:val="both"/>
        <w:textAlignment w:val="baseline"/>
        <w:rPr>
          <w:rFonts w:asciiTheme="minorHAnsi" w:hAnsiTheme="minorHAnsi" w:cstheme="minorBidi"/>
          <w:sz w:val="18"/>
          <w:szCs w:val="18"/>
          <w:lang w:val="en-GB"/>
        </w:rPr>
      </w:pPr>
      <w:r w:rsidRPr="008771A5">
        <w:rPr>
          <w:rStyle w:val="normaltextrun"/>
          <w:rFonts w:asciiTheme="minorHAnsi" w:hAnsiTheme="minorHAnsi" w:cstheme="minorBidi"/>
          <w:sz w:val="22"/>
          <w:szCs w:val="22"/>
          <w:lang w:val="en-GB"/>
        </w:rPr>
        <w:t xml:space="preserve">Net Present Value (NPV): Expresses the net value (benefit or cost) resulting from discounting to the present the annual net cash flows (i.e., the cash balance) over the lifetime of an investment. If the </w:t>
      </w:r>
      <w:r w:rsidR="006F5CEA">
        <w:rPr>
          <w:rStyle w:val="normaltextrun"/>
          <w:rFonts w:asciiTheme="minorHAnsi" w:hAnsiTheme="minorHAnsi" w:cstheme="minorBidi"/>
          <w:sz w:val="22"/>
          <w:szCs w:val="22"/>
          <w:lang w:val="en-GB"/>
        </w:rPr>
        <w:t>N</w:t>
      </w:r>
      <w:r w:rsidRPr="008771A5">
        <w:rPr>
          <w:rStyle w:val="normaltextrun"/>
          <w:rFonts w:asciiTheme="minorHAnsi" w:hAnsiTheme="minorHAnsi" w:cstheme="minorBidi"/>
          <w:sz w:val="22"/>
          <w:szCs w:val="22"/>
          <w:lang w:val="en-GB"/>
        </w:rPr>
        <w:t>P</w:t>
      </w:r>
      <w:r w:rsidR="006F5CEA">
        <w:rPr>
          <w:rStyle w:val="normaltextrun"/>
          <w:rFonts w:asciiTheme="minorHAnsi" w:hAnsiTheme="minorHAnsi" w:cstheme="minorBidi"/>
          <w:sz w:val="22"/>
          <w:szCs w:val="22"/>
          <w:lang w:val="en-GB"/>
        </w:rPr>
        <w:t>V</w:t>
      </w:r>
      <w:r w:rsidRPr="008771A5">
        <w:rPr>
          <w:rStyle w:val="normaltextrun"/>
          <w:rFonts w:asciiTheme="minorHAnsi" w:hAnsiTheme="minorHAnsi" w:cstheme="minorBidi"/>
          <w:sz w:val="22"/>
          <w:szCs w:val="22"/>
          <w:lang w:val="en-GB"/>
        </w:rPr>
        <w:t xml:space="preserve"> is positive (&gt;0) the investment is approved, otherwise it is rejected.</w:t>
      </w:r>
      <w:r w:rsidRPr="008771A5">
        <w:rPr>
          <w:rStyle w:val="eop"/>
          <w:rFonts w:asciiTheme="minorHAnsi" w:eastAsiaTheme="majorEastAsia" w:hAnsiTheme="minorHAnsi" w:cstheme="minorBidi"/>
          <w:sz w:val="22"/>
          <w:szCs w:val="22"/>
          <w:lang w:val="en-GB"/>
        </w:rPr>
        <w:t> </w:t>
      </w:r>
    </w:p>
    <w:p w14:paraId="70613468" w14:textId="77777777" w:rsidR="008771A5" w:rsidRPr="008771A5" w:rsidRDefault="008771A5" w:rsidP="008771A5">
      <w:pPr>
        <w:pStyle w:val="paragraph"/>
        <w:spacing w:before="0" w:beforeAutospacing="0" w:after="0" w:afterAutospacing="0"/>
        <w:jc w:val="both"/>
        <w:textAlignment w:val="baseline"/>
        <w:rPr>
          <w:rStyle w:val="normaltextrun"/>
          <w:rFonts w:asciiTheme="minorHAnsi" w:hAnsiTheme="minorHAnsi" w:cstheme="minorBidi"/>
          <w:sz w:val="22"/>
          <w:szCs w:val="22"/>
          <w:lang w:val="en-GB"/>
        </w:rPr>
      </w:pPr>
    </w:p>
    <w:p w14:paraId="5C247F61" w14:textId="77777777" w:rsidR="008771A5" w:rsidRPr="008771A5" w:rsidRDefault="008771A5" w:rsidP="008771A5">
      <w:pPr>
        <w:pStyle w:val="paragraph"/>
        <w:numPr>
          <w:ilvl w:val="0"/>
          <w:numId w:val="6"/>
        </w:numPr>
        <w:spacing w:before="0" w:beforeAutospacing="0" w:after="0" w:afterAutospacing="0"/>
        <w:jc w:val="both"/>
        <w:textAlignment w:val="baseline"/>
        <w:rPr>
          <w:rStyle w:val="eop"/>
          <w:rFonts w:asciiTheme="minorHAnsi" w:eastAsiaTheme="majorEastAsia" w:hAnsiTheme="minorHAnsi" w:cstheme="minorBidi"/>
          <w:sz w:val="22"/>
          <w:szCs w:val="22"/>
          <w:lang w:val="en-GB"/>
        </w:rPr>
      </w:pPr>
      <w:r w:rsidRPr="008771A5">
        <w:rPr>
          <w:rStyle w:val="normaltextrun"/>
          <w:rFonts w:asciiTheme="minorHAnsi" w:hAnsiTheme="minorHAnsi" w:cstheme="minorBidi"/>
          <w:sz w:val="22"/>
          <w:szCs w:val="22"/>
          <w:lang w:val="en-GB"/>
        </w:rPr>
        <w:t>Internal Rate of Return (IRR): It expresses the discount rate at which the NPV breaks down and thus the profitability of the investment is evaluated by comparing the IRR with the discount rate. If the IRR is greater than the discount rate, the investment is approved, otherwise it is rejected.</w:t>
      </w:r>
      <w:r w:rsidRPr="008771A5">
        <w:rPr>
          <w:rStyle w:val="eop"/>
          <w:rFonts w:asciiTheme="minorHAnsi" w:eastAsiaTheme="majorEastAsia" w:hAnsiTheme="minorHAnsi" w:cstheme="minorBidi"/>
          <w:sz w:val="22"/>
          <w:szCs w:val="22"/>
          <w:lang w:val="en-GB"/>
        </w:rPr>
        <w:t> </w:t>
      </w:r>
    </w:p>
    <w:p w14:paraId="7F3780FB" w14:textId="77777777" w:rsidR="008771A5" w:rsidRPr="008771A5" w:rsidRDefault="008771A5" w:rsidP="008771A5">
      <w:pPr>
        <w:pStyle w:val="paragraph"/>
        <w:spacing w:before="0" w:beforeAutospacing="0" w:after="0" w:afterAutospacing="0"/>
        <w:jc w:val="both"/>
        <w:textAlignment w:val="baseline"/>
        <w:rPr>
          <w:rStyle w:val="eop"/>
          <w:rFonts w:asciiTheme="minorHAnsi" w:eastAsiaTheme="majorEastAsia" w:hAnsiTheme="minorHAnsi" w:cstheme="minorBidi"/>
          <w:sz w:val="22"/>
          <w:szCs w:val="22"/>
          <w:lang w:val="en-GB"/>
        </w:rPr>
      </w:pPr>
    </w:p>
    <w:p w14:paraId="0F5C07BC" w14:textId="77777777" w:rsidR="008771A5" w:rsidRPr="008771A5" w:rsidRDefault="008771A5" w:rsidP="008771A5">
      <w:pPr>
        <w:pStyle w:val="paragraph"/>
        <w:numPr>
          <w:ilvl w:val="0"/>
          <w:numId w:val="6"/>
        </w:numPr>
        <w:spacing w:before="0" w:beforeAutospacing="0" w:after="0" w:afterAutospacing="0"/>
        <w:jc w:val="both"/>
        <w:textAlignment w:val="baseline"/>
        <w:rPr>
          <w:rFonts w:asciiTheme="minorHAnsi" w:hAnsiTheme="minorHAnsi" w:cstheme="minorBidi"/>
          <w:sz w:val="18"/>
          <w:szCs w:val="18"/>
          <w:lang w:val="en-GB"/>
        </w:rPr>
      </w:pPr>
      <w:r w:rsidRPr="008771A5">
        <w:rPr>
          <w:rStyle w:val="eop"/>
          <w:rFonts w:asciiTheme="minorHAnsi" w:eastAsiaTheme="majorEastAsia" w:hAnsiTheme="minorHAnsi" w:cstheme="minorBidi"/>
          <w:sz w:val="22"/>
          <w:szCs w:val="22"/>
          <w:lang w:val="en-GB"/>
        </w:rPr>
        <w:t>Benefit to cost ratio (B/C): B/C summarizes the overall relationship between the relative costs and benefits of a proposed project. If a project has a B/C greater than 1.0, the project is expected to deliver a positive net present value to its investors.</w:t>
      </w:r>
    </w:p>
    <w:p w14:paraId="4CAD9A99" w14:textId="77777777" w:rsidR="008771A5" w:rsidRDefault="008771A5" w:rsidP="008771A5"/>
    <w:p w14:paraId="4DAC0581" w14:textId="7D27E770" w:rsidR="008771A5" w:rsidRDefault="008771A5" w:rsidP="008771A5">
      <w:pPr>
        <w:pStyle w:val="Heading3"/>
      </w:pPr>
      <w:r>
        <w:lastRenderedPageBreak/>
        <w:t>Data collection</w:t>
      </w:r>
    </w:p>
    <w:p w14:paraId="5B5BF5A9" w14:textId="301D4B6D" w:rsidR="008771A5" w:rsidRDefault="008771A5" w:rsidP="008771A5">
      <w:r>
        <w:t>The data</w:t>
      </w:r>
      <w:r w:rsidR="00A86D83">
        <w:t xml:space="preserve"> to be</w:t>
      </w:r>
      <w:r>
        <w:t xml:space="preserve"> utilised in this </w:t>
      </w:r>
      <w:r w:rsidR="00A86D83">
        <w:t>tool</w:t>
      </w:r>
      <w:r>
        <w:t xml:space="preserve"> </w:t>
      </w:r>
      <w:r w:rsidR="00A86D83">
        <w:t>can be</w:t>
      </w:r>
      <w:r>
        <w:t xml:space="preserve"> mainly collected from the Eurostat repository and national Household Budget Surveys (HBSs). </w:t>
      </w:r>
    </w:p>
    <w:p w14:paraId="71EC3F64" w14:textId="77777777" w:rsidR="008771A5" w:rsidRDefault="008771A5" w:rsidP="008771A5"/>
    <w:p w14:paraId="0F48C7DB" w14:textId="41DEA2B7" w:rsidR="008771A5" w:rsidRDefault="008771A5" w:rsidP="008771A5">
      <w:pPr>
        <w:pStyle w:val="Heading3"/>
      </w:pPr>
      <w:r>
        <w:t>Brief explanations of different Scenarios</w:t>
      </w:r>
    </w:p>
    <w:p w14:paraId="7627DF04" w14:textId="0A07D420" w:rsidR="008771A5" w:rsidRDefault="008771A5" w:rsidP="008771A5">
      <w:r>
        <w:t>In the following sub-section, the different analysed scenarios will be portrayed and briefly explained. The subsidy rate is assumed to be zero for all Scenarios.</w:t>
      </w:r>
    </w:p>
    <w:p w14:paraId="72A3A113" w14:textId="77777777" w:rsidR="008771A5" w:rsidRDefault="008771A5" w:rsidP="008771A5"/>
    <w:p w14:paraId="0A67433A" w14:textId="3AD40B83" w:rsidR="008771A5" w:rsidRDefault="008771A5" w:rsidP="008771A5">
      <w:pPr>
        <w:pStyle w:val="Heading3"/>
      </w:pPr>
      <w:r>
        <w:t>Scenario 0: Country specific baseline Scenario</w:t>
      </w:r>
    </w:p>
    <w:p w14:paraId="368ABC25" w14:textId="686872C5" w:rsidR="008771A5" w:rsidRDefault="008771A5" w:rsidP="008771A5">
      <w:r>
        <w:t>Firstly, a baseline scenario is performed per country to understand what the current proposed policies and directed investments regarding the investment on the supply side measures that differ per country would result in. Apart from the expected investments for improving the heating system, no new additional upgrades of the residential sector are foreseen in this Scenario. The type of heating systems differs per country and based on the availability of types of energy sources.</w:t>
      </w:r>
    </w:p>
    <w:p w14:paraId="0360BA80" w14:textId="77777777" w:rsidR="008771A5" w:rsidRDefault="008771A5" w:rsidP="008771A5"/>
    <w:p w14:paraId="30DF78EC" w14:textId="11ACE9A3" w:rsidR="008771A5" w:rsidRDefault="008771A5" w:rsidP="008771A5">
      <w:pPr>
        <w:pStyle w:val="Heading3"/>
      </w:pPr>
      <w:r>
        <w:t>Scenario 1: Energy upgrade of the building envelopes</w:t>
      </w:r>
    </w:p>
    <w:p w14:paraId="082EC6F6" w14:textId="6FC7B089" w:rsidR="008771A5" w:rsidRDefault="008771A5" w:rsidP="008771A5">
      <w:r>
        <w:t>The following scenario analyses a situation in which the available national budgets are devoted to the investment on the supply side measures for both space heating and cooling purposes and replacing existing building envelopes including window frames, door</w:t>
      </w:r>
      <w:r w:rsidR="004A5C4A">
        <w:t>s</w:t>
      </w:r>
      <w:r>
        <w:t>, wall</w:t>
      </w:r>
      <w:r w:rsidR="004A5C4A">
        <w:t>s</w:t>
      </w:r>
      <w:r>
        <w:t>, roof</w:t>
      </w:r>
      <w:r w:rsidR="004A5C4A">
        <w:t>s</w:t>
      </w:r>
      <w:r>
        <w:t xml:space="preserve">, and floor area of the buildings with more energy efficient ones. This would result in reduced energy costs for the households due to the better energy performance of the buildings. Additionally, due to the latter, it </w:t>
      </w:r>
      <w:r w:rsidR="00C743BA">
        <w:t>i</w:t>
      </w:r>
      <w:r>
        <w:t xml:space="preserve">s assumed that no instalment costs related to the replacement of the existing heating systems would be foreseen, as this would not be needed given the improved general energy efficiency. For each country, the share of fuels used per end-use (i.e., space heating and cooling, domestic hot water, cooking and lighting appliances) and the price per fuel </w:t>
      </w:r>
      <w:r w:rsidR="00CE7AF5">
        <w:t>a</w:t>
      </w:r>
      <w:r>
        <w:t>re considered to calculate the economic benefit related to such policy measures. Finally, the decreasing energy security of gas was considered by including an externality factor in the calculations.</w:t>
      </w:r>
    </w:p>
    <w:p w14:paraId="05937AF3" w14:textId="77777777" w:rsidR="008771A5" w:rsidRDefault="008771A5" w:rsidP="008771A5"/>
    <w:p w14:paraId="05E07CDF" w14:textId="3DD9897D" w:rsidR="008771A5" w:rsidRDefault="008771A5" w:rsidP="008771A5">
      <w:pPr>
        <w:pStyle w:val="Heading3"/>
      </w:pPr>
      <w:r>
        <w:t>Scenario 2: Heat pump installations</w:t>
      </w:r>
    </w:p>
    <w:p w14:paraId="10231A28" w14:textId="177792F3" w:rsidR="008771A5" w:rsidRDefault="008771A5" w:rsidP="008771A5">
      <w:r>
        <w:t>In this Scenario, it is considered that the available national budgets for the development and expansion of the supply sides investments would be used to install heat pumps in the residential buildings. This would result in reduced energy costs for space heating and thus energy expenses in general. Similar</w:t>
      </w:r>
      <w:r w:rsidR="006E2672">
        <w:t>ly</w:t>
      </w:r>
      <w:r>
        <w:t xml:space="preserve"> to Scenario 1, it was assumed that there would be no need to replace existing fossil gas boilers with higher energy efficient boilers since the old gas boilers will be replaced by the heat pump. Additionally, the same principle for calculating the economic benefits per country </w:t>
      </w:r>
      <w:r w:rsidR="00643381">
        <w:t>i</w:t>
      </w:r>
      <w:r>
        <w:t>s employed.</w:t>
      </w:r>
    </w:p>
    <w:p w14:paraId="2DAF2B47" w14:textId="0F8947C4" w:rsidR="008771A5" w:rsidRDefault="008771A5" w:rsidP="008771A5">
      <w:pPr>
        <w:pStyle w:val="Heading3"/>
      </w:pPr>
      <w:r>
        <w:lastRenderedPageBreak/>
        <w:t>Scenario 3: Photovoltaic solar panel installation</w:t>
      </w:r>
    </w:p>
    <w:p w14:paraId="341C05DB" w14:textId="614D25BA" w:rsidR="008771A5" w:rsidRDefault="008771A5" w:rsidP="008771A5">
      <w:r>
        <w:t>Scenario 3 examines a situation in which the available budget for the supply side investments would be utilised for installing photovoltaic systems in the residential sector through energy offsetting schemes. This would once again reduce general energy expenses for the households and also enable them to offset the extra electricity produced. It must be noted that costs related to the upgrade of the electric network of the house, utility and electrician are not considered.</w:t>
      </w:r>
    </w:p>
    <w:p w14:paraId="32196BD7" w14:textId="4F67A3AC" w:rsidR="008771A5" w:rsidRDefault="008771A5" w:rsidP="008771A5">
      <w:pPr>
        <w:pStyle w:val="Heading3"/>
      </w:pPr>
      <w:r>
        <w:t>Scenario 4: Integrated energy retrofitting including the energy upgrade of the building envelopes and installations of heat pumps</w:t>
      </w:r>
    </w:p>
    <w:p w14:paraId="144AE34F" w14:textId="23A00ABD" w:rsidR="008771A5" w:rsidRDefault="008771A5" w:rsidP="008771A5">
      <w:r>
        <w:t xml:space="preserve">Scenario 4 evaluates the improvement of the building envelope conducted together with the installation of </w:t>
      </w:r>
      <w:r w:rsidR="0074614C">
        <w:t>a</w:t>
      </w:r>
      <w:r>
        <w:t xml:space="preserve"> heat pump. The logic behind the integrated renovations lies on the technical aspects of renovations. </w:t>
      </w:r>
      <w:r w:rsidR="00F44F43">
        <w:t>A h</w:t>
      </w:r>
      <w:r>
        <w:t>ighly insulated building is the requirement for the installation of heat pump</w:t>
      </w:r>
      <w:r w:rsidR="00F44F43">
        <w:t>s</w:t>
      </w:r>
      <w:r>
        <w:t>. The reason is that the heat pumps may provide lower temperature compared to the gas boilers or biomass boilers and therefore reducing the comfort level for the occupants. Therefore, it is highly recommended to improve the insulation of the buildings before</w:t>
      </w:r>
      <w:r w:rsidR="00365C2F">
        <w:t xml:space="preserve"> the</w:t>
      </w:r>
      <w:r>
        <w:t xml:space="preserve"> installation of heat pump</w:t>
      </w:r>
      <w:r w:rsidR="00365C2F">
        <w:t>s</w:t>
      </w:r>
      <w:r>
        <w:t xml:space="preserve"> and Scenario 4 tests whether this retrofit package provides higher economic and social values for the households.</w:t>
      </w:r>
    </w:p>
    <w:p w14:paraId="17FF1D20" w14:textId="31326BA9" w:rsidR="008771A5" w:rsidRDefault="008771A5" w:rsidP="008771A5">
      <w:pPr>
        <w:pStyle w:val="Heading3"/>
      </w:pPr>
      <w:r>
        <w:t>Scenario 5: Performance of zero-energy buildings by combining all investments</w:t>
      </w:r>
    </w:p>
    <w:p w14:paraId="7440269E" w14:textId="66E809AE" w:rsidR="008771A5" w:rsidRDefault="008771A5" w:rsidP="008771A5">
      <w:pPr>
        <w:rPr>
          <w:lang w:val="it-IT"/>
        </w:rPr>
      </w:pPr>
      <w:r>
        <w:t>The present scenario analyses a situation in which the available budget for the supply side investments would be employed to promote zero-energy buildings by combining a set of different investments. Namely, thermally insulating the exterior masonry, improving the cavity wall and solid insulation on wall</w:t>
      </w:r>
      <w:r w:rsidR="00F8195A">
        <w:t>s</w:t>
      </w:r>
      <w:r w:rsidR="004F7268">
        <w:t xml:space="preserve">, </w:t>
      </w:r>
      <w:r>
        <w:t>roof</w:t>
      </w:r>
      <w:r w:rsidR="004F7268">
        <w:t>,</w:t>
      </w:r>
      <w:r>
        <w:t xml:space="preserve"> floor</w:t>
      </w:r>
      <w:r w:rsidR="00F8195A">
        <w:t>s</w:t>
      </w:r>
      <w:r>
        <w:t xml:space="preserve">, façade, replacing existing window frames with more energy efficient ones, installing heat pumps in residential buildings, and installations of the photovoltaic solar panels. This would result in a great reduction of energy consumption and expenses due to the improved efficiency. Once again, it </w:t>
      </w:r>
      <w:r w:rsidR="005A3ABC">
        <w:t>i</w:t>
      </w:r>
      <w:r>
        <w:t xml:space="preserve">s considered that no investment costs would be incurred related to the replacement of existing fossil gas boilers, as there would be no need for this. Additionally, the same principle for calculating the economic benefit per country resulting from the application of these measures </w:t>
      </w:r>
      <w:r w:rsidR="00F8195A">
        <w:t>i</w:t>
      </w:r>
      <w:r>
        <w:t>s applied.</w:t>
      </w:r>
    </w:p>
    <w:p w14:paraId="54A64EE7" w14:textId="48A95062" w:rsidR="00710E47" w:rsidRDefault="00215864" w:rsidP="00710E47">
      <w:pPr>
        <w:pStyle w:val="Heading2"/>
        <w:rPr>
          <w:lang w:val="it-IT"/>
        </w:rPr>
      </w:pPr>
      <w:r>
        <w:rPr>
          <w:lang w:val="it-IT"/>
        </w:rPr>
        <w:t>Application of the tool</w:t>
      </w:r>
    </w:p>
    <w:p w14:paraId="4A6B3395" w14:textId="6CE7123C" w:rsidR="00215864" w:rsidRDefault="00215864" w:rsidP="00215864">
      <w:pPr>
        <w:rPr>
          <w:lang w:val="it-IT"/>
        </w:rPr>
      </w:pPr>
      <w:r>
        <w:rPr>
          <w:lang w:val="it-IT"/>
        </w:rPr>
        <w:t xml:space="preserve">Hereby, illustrations will be shown as an example from the application of the tool in </w:t>
      </w:r>
      <w:r w:rsidR="005522A9">
        <w:rPr>
          <w:lang w:val="it-IT"/>
        </w:rPr>
        <w:t>Romania, specifically for low-income households.</w:t>
      </w:r>
      <w:r w:rsidR="000D2421">
        <w:rPr>
          <w:lang w:val="it-IT"/>
        </w:rPr>
        <w:t xml:space="preserve"> Table 7 illustrates the typeof data needed as input for the tool.</w:t>
      </w:r>
      <w:r w:rsidR="00415D88">
        <w:rPr>
          <w:lang w:val="it-IT"/>
        </w:rPr>
        <w:t xml:space="preserve"> Table 8 shows additional inputs and related results from the application </w:t>
      </w:r>
      <w:r w:rsidR="00900E2E">
        <w:rPr>
          <w:lang w:val="it-IT"/>
        </w:rPr>
        <w:t>of the tool to perfrom a CBA of Scenario 1.</w:t>
      </w:r>
      <w:r w:rsidR="00F279FE">
        <w:rPr>
          <w:lang w:val="it-IT"/>
        </w:rPr>
        <w:t xml:space="preserve"> Table 9 shows the results per year resulting from a CBA of Scenario 1 in Romania for low-income households.</w:t>
      </w:r>
      <w:r w:rsidR="00E01E1D">
        <w:rPr>
          <w:lang w:val="it-IT"/>
        </w:rPr>
        <w:t xml:space="preserve"> Table 10 and 11 illutsraste the same things but for </w:t>
      </w:r>
      <w:r w:rsidR="00750E5E">
        <w:rPr>
          <w:lang w:val="it-IT"/>
        </w:rPr>
        <w:t>the SCBA in Romania for low-income households.</w:t>
      </w:r>
    </w:p>
    <w:p w14:paraId="10228FF4" w14:textId="77777777" w:rsidR="000D2421" w:rsidRDefault="000D2421" w:rsidP="00215864">
      <w:pPr>
        <w:rPr>
          <w:lang w:val="it-IT"/>
        </w:rPr>
      </w:pPr>
    </w:p>
    <w:p w14:paraId="2E92EB3D" w14:textId="77777777" w:rsidR="000D2421" w:rsidRDefault="000D2421" w:rsidP="00215864">
      <w:pPr>
        <w:rPr>
          <w:lang w:val="it-IT"/>
        </w:rPr>
      </w:pPr>
    </w:p>
    <w:p w14:paraId="145B11E1" w14:textId="77777777" w:rsidR="000D2421" w:rsidRDefault="000D2421" w:rsidP="00215864">
      <w:pPr>
        <w:rPr>
          <w:lang w:val="it-IT"/>
        </w:rPr>
      </w:pPr>
    </w:p>
    <w:p w14:paraId="48CF5A63" w14:textId="77777777" w:rsidR="000D2421" w:rsidRDefault="000D2421" w:rsidP="00215864">
      <w:pPr>
        <w:rPr>
          <w:lang w:val="it-IT"/>
        </w:rPr>
      </w:pPr>
    </w:p>
    <w:p w14:paraId="78B2D3A4" w14:textId="77777777" w:rsidR="000D2421" w:rsidRDefault="000D2421" w:rsidP="00215864">
      <w:pPr>
        <w:rPr>
          <w:lang w:val="it-IT"/>
        </w:rPr>
      </w:pPr>
    </w:p>
    <w:p w14:paraId="3FF7BD41" w14:textId="77777777" w:rsidR="000D2421" w:rsidRDefault="000D2421" w:rsidP="00215864">
      <w:pPr>
        <w:rPr>
          <w:lang w:val="it-IT"/>
        </w:rPr>
      </w:pPr>
    </w:p>
    <w:p w14:paraId="6CAA57C3" w14:textId="77777777" w:rsidR="000D2421" w:rsidRDefault="000D2421" w:rsidP="00215864">
      <w:pPr>
        <w:rPr>
          <w:lang w:val="it-IT"/>
        </w:rPr>
      </w:pPr>
    </w:p>
    <w:p w14:paraId="6441BFC9" w14:textId="659E3FE9" w:rsidR="000D2421" w:rsidRDefault="000D2421" w:rsidP="000D2421">
      <w:pPr>
        <w:pStyle w:val="Caption"/>
        <w:keepNext/>
      </w:pPr>
      <w:r>
        <w:t xml:space="preserve">Table </w:t>
      </w:r>
      <w:r>
        <w:fldChar w:fldCharType="begin"/>
      </w:r>
      <w:r>
        <w:instrText xml:space="preserve"> SEQ Table \* ARABIC </w:instrText>
      </w:r>
      <w:r>
        <w:fldChar w:fldCharType="separate"/>
      </w:r>
      <w:r w:rsidR="00843A57">
        <w:rPr>
          <w:noProof/>
        </w:rPr>
        <w:t>7</w:t>
      </w:r>
      <w:r>
        <w:fldChar w:fldCharType="end"/>
      </w:r>
      <w:r>
        <w:t>: Input data needed.</w:t>
      </w:r>
    </w:p>
    <w:tbl>
      <w:tblPr>
        <w:tblW w:w="9021" w:type="dxa"/>
        <w:tblLook w:val="04A0" w:firstRow="1" w:lastRow="0" w:firstColumn="1" w:lastColumn="0" w:noHBand="0" w:noVBand="1"/>
      </w:tblPr>
      <w:tblGrid>
        <w:gridCol w:w="1133"/>
        <w:gridCol w:w="1689"/>
        <w:gridCol w:w="1149"/>
        <w:gridCol w:w="984"/>
        <w:gridCol w:w="1039"/>
        <w:gridCol w:w="717"/>
        <w:gridCol w:w="1007"/>
        <w:gridCol w:w="1303"/>
      </w:tblGrid>
      <w:tr w:rsidR="000D2421" w:rsidRPr="006A346F" w14:paraId="0B6EC699" w14:textId="77777777" w:rsidTr="000D2421">
        <w:trPr>
          <w:trHeight w:val="288"/>
        </w:trPr>
        <w:tc>
          <w:tcPr>
            <w:tcW w:w="1133" w:type="dxa"/>
            <w:vMerge w:val="restart"/>
            <w:tcBorders>
              <w:top w:val="single" w:sz="4" w:space="0" w:color="auto"/>
              <w:left w:val="nil"/>
              <w:bottom w:val="nil"/>
              <w:right w:val="single" w:sz="4" w:space="0" w:color="auto"/>
            </w:tcBorders>
            <w:shd w:val="clear" w:color="000000" w:fill="D9D9D9"/>
            <w:noWrap/>
            <w:vAlign w:val="center"/>
            <w:hideMark/>
          </w:tcPr>
          <w:p w14:paraId="43726530"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Romania</w:t>
            </w:r>
          </w:p>
        </w:tc>
        <w:tc>
          <w:tcPr>
            <w:tcW w:w="1689" w:type="dxa"/>
            <w:tcBorders>
              <w:top w:val="single" w:sz="4" w:space="0" w:color="auto"/>
              <w:left w:val="nil"/>
              <w:bottom w:val="single" w:sz="4" w:space="0" w:color="auto"/>
              <w:right w:val="single" w:sz="4" w:space="0" w:color="auto"/>
            </w:tcBorders>
            <w:shd w:val="clear" w:color="000000" w:fill="D9D9D9"/>
            <w:noWrap/>
            <w:vAlign w:val="bottom"/>
            <w:hideMark/>
          </w:tcPr>
          <w:p w14:paraId="16A0CCB0"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Total </w:t>
            </w:r>
          </w:p>
        </w:tc>
        <w:tc>
          <w:tcPr>
            <w:tcW w:w="1149" w:type="dxa"/>
            <w:tcBorders>
              <w:top w:val="single" w:sz="4" w:space="0" w:color="auto"/>
              <w:left w:val="nil"/>
              <w:bottom w:val="single" w:sz="4" w:space="0" w:color="auto"/>
              <w:right w:val="single" w:sz="4" w:space="0" w:color="auto"/>
            </w:tcBorders>
            <w:shd w:val="clear" w:color="000000" w:fill="D9D9D9"/>
            <w:noWrap/>
            <w:vAlign w:val="bottom"/>
            <w:hideMark/>
          </w:tcPr>
          <w:p w14:paraId="31D94525"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Total </w:t>
            </w:r>
          </w:p>
        </w:tc>
        <w:tc>
          <w:tcPr>
            <w:tcW w:w="984" w:type="dxa"/>
            <w:tcBorders>
              <w:top w:val="single" w:sz="4" w:space="0" w:color="auto"/>
              <w:left w:val="nil"/>
              <w:bottom w:val="single" w:sz="4" w:space="0" w:color="auto"/>
              <w:right w:val="single" w:sz="4" w:space="0" w:color="auto"/>
            </w:tcBorders>
            <w:shd w:val="clear" w:color="000000" w:fill="D9D9D9"/>
            <w:noWrap/>
            <w:vAlign w:val="bottom"/>
            <w:hideMark/>
          </w:tcPr>
          <w:p w14:paraId="773E61AC"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Heating </w:t>
            </w:r>
          </w:p>
        </w:tc>
        <w:tc>
          <w:tcPr>
            <w:tcW w:w="1039" w:type="dxa"/>
            <w:tcBorders>
              <w:top w:val="single" w:sz="4" w:space="0" w:color="auto"/>
              <w:left w:val="nil"/>
              <w:bottom w:val="single" w:sz="4" w:space="0" w:color="auto"/>
              <w:right w:val="single" w:sz="4" w:space="0" w:color="auto"/>
            </w:tcBorders>
            <w:shd w:val="clear" w:color="000000" w:fill="D9D9D9"/>
            <w:noWrap/>
            <w:vAlign w:val="bottom"/>
            <w:hideMark/>
          </w:tcPr>
          <w:p w14:paraId="2F35FD65"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Cooling </w:t>
            </w:r>
          </w:p>
        </w:tc>
        <w:tc>
          <w:tcPr>
            <w:tcW w:w="717" w:type="dxa"/>
            <w:tcBorders>
              <w:top w:val="single" w:sz="4" w:space="0" w:color="auto"/>
              <w:left w:val="nil"/>
              <w:bottom w:val="single" w:sz="4" w:space="0" w:color="auto"/>
              <w:right w:val="single" w:sz="4" w:space="0" w:color="auto"/>
            </w:tcBorders>
            <w:shd w:val="clear" w:color="000000" w:fill="D9D9D9"/>
            <w:noWrap/>
            <w:vAlign w:val="bottom"/>
            <w:hideMark/>
          </w:tcPr>
          <w:p w14:paraId="4546D38C"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DHW </w:t>
            </w:r>
          </w:p>
        </w:tc>
        <w:tc>
          <w:tcPr>
            <w:tcW w:w="1007" w:type="dxa"/>
            <w:tcBorders>
              <w:top w:val="single" w:sz="4" w:space="0" w:color="auto"/>
              <w:left w:val="nil"/>
              <w:bottom w:val="single" w:sz="4" w:space="0" w:color="auto"/>
              <w:right w:val="single" w:sz="4" w:space="0" w:color="auto"/>
            </w:tcBorders>
            <w:shd w:val="clear" w:color="000000" w:fill="D9D9D9"/>
            <w:noWrap/>
            <w:vAlign w:val="bottom"/>
            <w:hideMark/>
          </w:tcPr>
          <w:p w14:paraId="492E831E"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Cooking </w:t>
            </w:r>
          </w:p>
        </w:tc>
        <w:tc>
          <w:tcPr>
            <w:tcW w:w="1303" w:type="dxa"/>
            <w:tcBorders>
              <w:top w:val="single" w:sz="4" w:space="0" w:color="auto"/>
              <w:left w:val="nil"/>
              <w:bottom w:val="single" w:sz="4" w:space="0" w:color="auto"/>
              <w:right w:val="single" w:sz="4" w:space="0" w:color="auto"/>
            </w:tcBorders>
            <w:shd w:val="clear" w:color="000000" w:fill="D9D9D9"/>
            <w:noWrap/>
            <w:vAlign w:val="bottom"/>
            <w:hideMark/>
          </w:tcPr>
          <w:p w14:paraId="1868E6E6" w14:textId="77777777" w:rsidR="006A346F" w:rsidRPr="006A346F" w:rsidRDefault="006A346F" w:rsidP="006A346F">
            <w:pPr>
              <w:spacing w:after="0" w:line="240" w:lineRule="auto"/>
              <w:jc w:val="center"/>
              <w:rPr>
                <w:rFonts w:ascii="Calibri" w:eastAsia="Times New Roman" w:hAnsi="Calibri" w:cs="Calibri"/>
                <w:b/>
                <w:bCs/>
                <w:color w:val="000000"/>
                <w:kern w:val="0"/>
                <w:lang w:eastAsia="en-GB"/>
                <w14:ligatures w14:val="none"/>
              </w:rPr>
            </w:pPr>
            <w:r w:rsidRPr="006A346F">
              <w:rPr>
                <w:rFonts w:ascii="Calibri" w:eastAsia="Times New Roman" w:hAnsi="Calibri" w:cs="Calibri"/>
                <w:b/>
                <w:bCs/>
                <w:color w:val="000000"/>
                <w:kern w:val="0"/>
                <w:lang w:eastAsia="en-GB"/>
                <w14:ligatures w14:val="none"/>
              </w:rPr>
              <w:t xml:space="preserve"> Electric appliances &amp; Lighting </w:t>
            </w:r>
          </w:p>
        </w:tc>
      </w:tr>
      <w:tr w:rsidR="000D2421" w:rsidRPr="006A346F" w14:paraId="5CCAFFA1"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33C5822C"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3B1F9A5E"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Electricity</w:t>
            </w:r>
          </w:p>
        </w:tc>
        <w:tc>
          <w:tcPr>
            <w:tcW w:w="1149" w:type="dxa"/>
            <w:tcBorders>
              <w:top w:val="nil"/>
              <w:left w:val="nil"/>
              <w:bottom w:val="single" w:sz="4" w:space="0" w:color="auto"/>
              <w:right w:val="single" w:sz="4" w:space="0" w:color="auto"/>
            </w:tcBorders>
            <w:shd w:val="clear" w:color="000000" w:fill="FFFFFF"/>
            <w:noWrap/>
            <w:vAlign w:val="bottom"/>
            <w:hideMark/>
          </w:tcPr>
          <w:p w14:paraId="4671CD7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1,830</w:t>
            </w:r>
          </w:p>
        </w:tc>
        <w:tc>
          <w:tcPr>
            <w:tcW w:w="984" w:type="dxa"/>
            <w:tcBorders>
              <w:top w:val="nil"/>
              <w:left w:val="nil"/>
              <w:bottom w:val="single" w:sz="4" w:space="0" w:color="auto"/>
              <w:right w:val="single" w:sz="4" w:space="0" w:color="auto"/>
            </w:tcBorders>
            <w:shd w:val="clear" w:color="000000" w:fill="FFFFFF"/>
            <w:noWrap/>
            <w:vAlign w:val="bottom"/>
            <w:hideMark/>
          </w:tcPr>
          <w:p w14:paraId="16E3DC0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16</w:t>
            </w:r>
          </w:p>
        </w:tc>
        <w:tc>
          <w:tcPr>
            <w:tcW w:w="1039" w:type="dxa"/>
            <w:tcBorders>
              <w:top w:val="nil"/>
              <w:left w:val="nil"/>
              <w:bottom w:val="single" w:sz="4" w:space="0" w:color="auto"/>
              <w:right w:val="single" w:sz="4" w:space="0" w:color="auto"/>
            </w:tcBorders>
            <w:shd w:val="clear" w:color="000000" w:fill="FFFFFF"/>
            <w:noWrap/>
            <w:vAlign w:val="bottom"/>
            <w:hideMark/>
          </w:tcPr>
          <w:p w14:paraId="3E7C6F7A"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42</w:t>
            </w:r>
          </w:p>
        </w:tc>
        <w:tc>
          <w:tcPr>
            <w:tcW w:w="717" w:type="dxa"/>
            <w:tcBorders>
              <w:top w:val="nil"/>
              <w:left w:val="nil"/>
              <w:bottom w:val="single" w:sz="4" w:space="0" w:color="auto"/>
              <w:right w:val="single" w:sz="4" w:space="0" w:color="auto"/>
            </w:tcBorders>
            <w:shd w:val="clear" w:color="000000" w:fill="FFFFFF"/>
            <w:noWrap/>
            <w:vAlign w:val="bottom"/>
            <w:hideMark/>
          </w:tcPr>
          <w:p w14:paraId="46CD75F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35</w:t>
            </w:r>
          </w:p>
        </w:tc>
        <w:tc>
          <w:tcPr>
            <w:tcW w:w="1007" w:type="dxa"/>
            <w:tcBorders>
              <w:top w:val="nil"/>
              <w:left w:val="nil"/>
              <w:bottom w:val="single" w:sz="4" w:space="0" w:color="auto"/>
              <w:right w:val="single" w:sz="4" w:space="0" w:color="auto"/>
            </w:tcBorders>
            <w:shd w:val="clear" w:color="000000" w:fill="FFFFFF"/>
            <w:noWrap/>
            <w:vAlign w:val="bottom"/>
            <w:hideMark/>
          </w:tcPr>
          <w:p w14:paraId="5334162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w:t>
            </w:r>
          </w:p>
        </w:tc>
        <w:tc>
          <w:tcPr>
            <w:tcW w:w="1303" w:type="dxa"/>
            <w:tcBorders>
              <w:top w:val="nil"/>
              <w:left w:val="nil"/>
              <w:bottom w:val="single" w:sz="4" w:space="0" w:color="auto"/>
              <w:right w:val="single" w:sz="4" w:space="0" w:color="auto"/>
            </w:tcBorders>
            <w:shd w:val="clear" w:color="000000" w:fill="FFFFFF"/>
            <w:noWrap/>
            <w:vAlign w:val="bottom"/>
            <w:hideMark/>
          </w:tcPr>
          <w:p w14:paraId="10425BDE"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1,736</w:t>
            </w:r>
          </w:p>
        </w:tc>
      </w:tr>
      <w:tr w:rsidR="000D2421" w:rsidRPr="006A346F" w14:paraId="7FC15CB5"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72BDB53A"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72DE67EE"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Heating oil</w:t>
            </w:r>
          </w:p>
        </w:tc>
        <w:tc>
          <w:tcPr>
            <w:tcW w:w="1149" w:type="dxa"/>
            <w:tcBorders>
              <w:top w:val="nil"/>
              <w:left w:val="nil"/>
              <w:bottom w:val="single" w:sz="4" w:space="0" w:color="auto"/>
              <w:right w:val="single" w:sz="4" w:space="0" w:color="auto"/>
            </w:tcBorders>
            <w:shd w:val="clear" w:color="000000" w:fill="FFFFFF"/>
            <w:noWrap/>
            <w:vAlign w:val="bottom"/>
            <w:hideMark/>
          </w:tcPr>
          <w:p w14:paraId="59460B06"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67</w:t>
            </w:r>
          </w:p>
        </w:tc>
        <w:tc>
          <w:tcPr>
            <w:tcW w:w="984" w:type="dxa"/>
            <w:tcBorders>
              <w:top w:val="nil"/>
              <w:left w:val="nil"/>
              <w:bottom w:val="single" w:sz="4" w:space="0" w:color="auto"/>
              <w:right w:val="single" w:sz="4" w:space="0" w:color="auto"/>
            </w:tcBorders>
            <w:shd w:val="clear" w:color="000000" w:fill="FFFFFF"/>
            <w:noWrap/>
            <w:vAlign w:val="bottom"/>
            <w:hideMark/>
          </w:tcPr>
          <w:p w14:paraId="6F21BEDE"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1039" w:type="dxa"/>
            <w:tcBorders>
              <w:top w:val="nil"/>
              <w:left w:val="nil"/>
              <w:bottom w:val="single" w:sz="4" w:space="0" w:color="auto"/>
              <w:right w:val="single" w:sz="4" w:space="0" w:color="auto"/>
            </w:tcBorders>
            <w:shd w:val="clear" w:color="000000" w:fill="FFFFFF"/>
            <w:noWrap/>
            <w:vAlign w:val="bottom"/>
            <w:hideMark/>
          </w:tcPr>
          <w:p w14:paraId="7CA434BE"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288650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14</w:t>
            </w:r>
          </w:p>
        </w:tc>
        <w:tc>
          <w:tcPr>
            <w:tcW w:w="1007" w:type="dxa"/>
            <w:tcBorders>
              <w:top w:val="nil"/>
              <w:left w:val="nil"/>
              <w:bottom w:val="single" w:sz="4" w:space="0" w:color="auto"/>
              <w:right w:val="single" w:sz="4" w:space="0" w:color="auto"/>
            </w:tcBorders>
            <w:shd w:val="clear" w:color="000000" w:fill="FFFFFF"/>
            <w:noWrap/>
            <w:vAlign w:val="bottom"/>
            <w:hideMark/>
          </w:tcPr>
          <w:p w14:paraId="05983E5F"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53</w:t>
            </w:r>
          </w:p>
        </w:tc>
        <w:tc>
          <w:tcPr>
            <w:tcW w:w="1303" w:type="dxa"/>
            <w:tcBorders>
              <w:top w:val="nil"/>
              <w:left w:val="nil"/>
              <w:bottom w:val="single" w:sz="4" w:space="0" w:color="auto"/>
              <w:right w:val="single" w:sz="4" w:space="0" w:color="auto"/>
            </w:tcBorders>
            <w:shd w:val="clear" w:color="000000" w:fill="FFFFFF"/>
            <w:noWrap/>
            <w:vAlign w:val="bottom"/>
            <w:hideMark/>
          </w:tcPr>
          <w:p w14:paraId="3C9D75EA"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6082E7A4"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380E8FA1"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21A8E157"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 xml:space="preserve">LPG </w:t>
            </w:r>
          </w:p>
        </w:tc>
        <w:tc>
          <w:tcPr>
            <w:tcW w:w="1149" w:type="dxa"/>
            <w:tcBorders>
              <w:top w:val="nil"/>
              <w:left w:val="nil"/>
              <w:bottom w:val="single" w:sz="4" w:space="0" w:color="auto"/>
              <w:right w:val="single" w:sz="4" w:space="0" w:color="auto"/>
            </w:tcBorders>
            <w:shd w:val="clear" w:color="000000" w:fill="FFFFFF"/>
            <w:noWrap/>
            <w:vAlign w:val="bottom"/>
            <w:hideMark/>
          </w:tcPr>
          <w:p w14:paraId="66D995E1"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465</w:t>
            </w:r>
          </w:p>
        </w:tc>
        <w:tc>
          <w:tcPr>
            <w:tcW w:w="984" w:type="dxa"/>
            <w:tcBorders>
              <w:top w:val="nil"/>
              <w:left w:val="nil"/>
              <w:bottom w:val="single" w:sz="4" w:space="0" w:color="auto"/>
              <w:right w:val="single" w:sz="4" w:space="0" w:color="auto"/>
            </w:tcBorders>
            <w:shd w:val="clear" w:color="000000" w:fill="FFFFFF"/>
            <w:noWrap/>
            <w:vAlign w:val="bottom"/>
            <w:hideMark/>
          </w:tcPr>
          <w:p w14:paraId="4457B952"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w:t>
            </w:r>
          </w:p>
        </w:tc>
        <w:tc>
          <w:tcPr>
            <w:tcW w:w="1039" w:type="dxa"/>
            <w:tcBorders>
              <w:top w:val="nil"/>
              <w:left w:val="nil"/>
              <w:bottom w:val="single" w:sz="4" w:space="0" w:color="auto"/>
              <w:right w:val="single" w:sz="4" w:space="0" w:color="auto"/>
            </w:tcBorders>
            <w:shd w:val="clear" w:color="000000" w:fill="FFFFFF"/>
            <w:noWrap/>
            <w:vAlign w:val="bottom"/>
            <w:hideMark/>
          </w:tcPr>
          <w:p w14:paraId="746D5DC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22B4413D"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97</w:t>
            </w:r>
          </w:p>
        </w:tc>
        <w:tc>
          <w:tcPr>
            <w:tcW w:w="1007" w:type="dxa"/>
            <w:tcBorders>
              <w:top w:val="nil"/>
              <w:left w:val="nil"/>
              <w:bottom w:val="single" w:sz="4" w:space="0" w:color="auto"/>
              <w:right w:val="single" w:sz="4" w:space="0" w:color="auto"/>
            </w:tcBorders>
            <w:shd w:val="clear" w:color="000000" w:fill="FFFFFF"/>
            <w:noWrap/>
            <w:vAlign w:val="bottom"/>
            <w:hideMark/>
          </w:tcPr>
          <w:p w14:paraId="78378AD0"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367</w:t>
            </w:r>
          </w:p>
        </w:tc>
        <w:tc>
          <w:tcPr>
            <w:tcW w:w="1303" w:type="dxa"/>
            <w:tcBorders>
              <w:top w:val="nil"/>
              <w:left w:val="nil"/>
              <w:bottom w:val="single" w:sz="4" w:space="0" w:color="auto"/>
              <w:right w:val="single" w:sz="4" w:space="0" w:color="auto"/>
            </w:tcBorders>
            <w:shd w:val="clear" w:color="000000" w:fill="FFFFFF"/>
            <w:noWrap/>
            <w:vAlign w:val="bottom"/>
            <w:hideMark/>
          </w:tcPr>
          <w:p w14:paraId="05D53C9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391A36C6"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18FD568C"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49EDF5C7"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Natural gas</w:t>
            </w:r>
          </w:p>
        </w:tc>
        <w:tc>
          <w:tcPr>
            <w:tcW w:w="1149" w:type="dxa"/>
            <w:tcBorders>
              <w:top w:val="nil"/>
              <w:left w:val="nil"/>
              <w:bottom w:val="single" w:sz="4" w:space="0" w:color="auto"/>
              <w:right w:val="single" w:sz="4" w:space="0" w:color="auto"/>
            </w:tcBorders>
            <w:shd w:val="clear" w:color="000000" w:fill="FFFFFF"/>
            <w:noWrap/>
            <w:vAlign w:val="bottom"/>
            <w:hideMark/>
          </w:tcPr>
          <w:p w14:paraId="48FAA09E"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3,955</w:t>
            </w:r>
          </w:p>
        </w:tc>
        <w:tc>
          <w:tcPr>
            <w:tcW w:w="984" w:type="dxa"/>
            <w:tcBorders>
              <w:top w:val="nil"/>
              <w:left w:val="nil"/>
              <w:bottom w:val="single" w:sz="4" w:space="0" w:color="auto"/>
              <w:right w:val="single" w:sz="4" w:space="0" w:color="auto"/>
            </w:tcBorders>
            <w:shd w:val="clear" w:color="000000" w:fill="F4B084"/>
            <w:noWrap/>
            <w:vAlign w:val="bottom"/>
            <w:hideMark/>
          </w:tcPr>
          <w:p w14:paraId="51F0B89F"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2,315</w:t>
            </w:r>
          </w:p>
        </w:tc>
        <w:tc>
          <w:tcPr>
            <w:tcW w:w="1039" w:type="dxa"/>
            <w:tcBorders>
              <w:top w:val="nil"/>
              <w:left w:val="nil"/>
              <w:bottom w:val="single" w:sz="4" w:space="0" w:color="auto"/>
              <w:right w:val="single" w:sz="4" w:space="0" w:color="auto"/>
            </w:tcBorders>
            <w:shd w:val="clear" w:color="000000" w:fill="FFFFFF"/>
            <w:noWrap/>
            <w:vAlign w:val="bottom"/>
            <w:hideMark/>
          </w:tcPr>
          <w:p w14:paraId="1AE782D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3E92DB67"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899</w:t>
            </w:r>
          </w:p>
        </w:tc>
        <w:tc>
          <w:tcPr>
            <w:tcW w:w="1007" w:type="dxa"/>
            <w:tcBorders>
              <w:top w:val="nil"/>
              <w:left w:val="nil"/>
              <w:bottom w:val="single" w:sz="4" w:space="0" w:color="auto"/>
              <w:right w:val="single" w:sz="4" w:space="0" w:color="auto"/>
            </w:tcBorders>
            <w:shd w:val="clear" w:color="000000" w:fill="FFFFFF"/>
            <w:noWrap/>
            <w:vAlign w:val="bottom"/>
            <w:hideMark/>
          </w:tcPr>
          <w:p w14:paraId="22F7D6D6"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740</w:t>
            </w:r>
          </w:p>
        </w:tc>
        <w:tc>
          <w:tcPr>
            <w:tcW w:w="1303" w:type="dxa"/>
            <w:tcBorders>
              <w:top w:val="nil"/>
              <w:left w:val="nil"/>
              <w:bottom w:val="single" w:sz="4" w:space="0" w:color="auto"/>
              <w:right w:val="single" w:sz="4" w:space="0" w:color="auto"/>
            </w:tcBorders>
            <w:shd w:val="clear" w:color="000000" w:fill="FFFFFF"/>
            <w:noWrap/>
            <w:vAlign w:val="bottom"/>
            <w:hideMark/>
          </w:tcPr>
          <w:p w14:paraId="18F9901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3A481203"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3DB41109"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3FFE6E92"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Solar thermal</w:t>
            </w:r>
          </w:p>
        </w:tc>
        <w:tc>
          <w:tcPr>
            <w:tcW w:w="1149" w:type="dxa"/>
            <w:tcBorders>
              <w:top w:val="nil"/>
              <w:left w:val="nil"/>
              <w:bottom w:val="single" w:sz="4" w:space="0" w:color="auto"/>
              <w:right w:val="single" w:sz="4" w:space="0" w:color="auto"/>
            </w:tcBorders>
            <w:shd w:val="clear" w:color="000000" w:fill="FFFFFF"/>
            <w:noWrap/>
            <w:vAlign w:val="bottom"/>
            <w:hideMark/>
          </w:tcPr>
          <w:p w14:paraId="1EE4AAE3"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984" w:type="dxa"/>
            <w:tcBorders>
              <w:top w:val="nil"/>
              <w:left w:val="nil"/>
              <w:bottom w:val="single" w:sz="4" w:space="0" w:color="auto"/>
              <w:right w:val="single" w:sz="4" w:space="0" w:color="auto"/>
            </w:tcBorders>
            <w:shd w:val="clear" w:color="000000" w:fill="FFFFFF"/>
            <w:noWrap/>
            <w:vAlign w:val="bottom"/>
            <w:hideMark/>
          </w:tcPr>
          <w:p w14:paraId="457C83C2"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1039" w:type="dxa"/>
            <w:tcBorders>
              <w:top w:val="nil"/>
              <w:left w:val="nil"/>
              <w:bottom w:val="single" w:sz="4" w:space="0" w:color="auto"/>
              <w:right w:val="single" w:sz="4" w:space="0" w:color="auto"/>
            </w:tcBorders>
            <w:shd w:val="clear" w:color="000000" w:fill="FFFFFF"/>
            <w:noWrap/>
            <w:vAlign w:val="bottom"/>
            <w:hideMark/>
          </w:tcPr>
          <w:p w14:paraId="54D77348"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686E67C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1007" w:type="dxa"/>
            <w:tcBorders>
              <w:top w:val="nil"/>
              <w:left w:val="nil"/>
              <w:bottom w:val="single" w:sz="4" w:space="0" w:color="auto"/>
              <w:right w:val="single" w:sz="4" w:space="0" w:color="auto"/>
            </w:tcBorders>
            <w:shd w:val="clear" w:color="000000" w:fill="FFFFFF"/>
            <w:noWrap/>
            <w:vAlign w:val="bottom"/>
            <w:hideMark/>
          </w:tcPr>
          <w:p w14:paraId="6E8FEFDE"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1303" w:type="dxa"/>
            <w:tcBorders>
              <w:top w:val="nil"/>
              <w:left w:val="nil"/>
              <w:bottom w:val="single" w:sz="4" w:space="0" w:color="auto"/>
              <w:right w:val="single" w:sz="4" w:space="0" w:color="auto"/>
            </w:tcBorders>
            <w:shd w:val="clear" w:color="000000" w:fill="FFFFFF"/>
            <w:noWrap/>
            <w:vAlign w:val="bottom"/>
            <w:hideMark/>
          </w:tcPr>
          <w:p w14:paraId="22F208CB"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797E781E"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79E7D4C1"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4DD9DDE2"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Ambient heat</w:t>
            </w:r>
          </w:p>
        </w:tc>
        <w:tc>
          <w:tcPr>
            <w:tcW w:w="1149" w:type="dxa"/>
            <w:tcBorders>
              <w:top w:val="nil"/>
              <w:left w:val="nil"/>
              <w:bottom w:val="single" w:sz="4" w:space="0" w:color="auto"/>
              <w:right w:val="single" w:sz="4" w:space="0" w:color="auto"/>
            </w:tcBorders>
            <w:shd w:val="clear" w:color="000000" w:fill="FFFFFF"/>
            <w:noWrap/>
            <w:vAlign w:val="bottom"/>
            <w:hideMark/>
          </w:tcPr>
          <w:p w14:paraId="3A2204FD"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984" w:type="dxa"/>
            <w:tcBorders>
              <w:top w:val="nil"/>
              <w:left w:val="nil"/>
              <w:bottom w:val="single" w:sz="4" w:space="0" w:color="auto"/>
              <w:right w:val="single" w:sz="4" w:space="0" w:color="auto"/>
            </w:tcBorders>
            <w:shd w:val="clear" w:color="000000" w:fill="FFFFFF"/>
            <w:noWrap/>
            <w:vAlign w:val="bottom"/>
            <w:hideMark/>
          </w:tcPr>
          <w:p w14:paraId="4626283D"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1039" w:type="dxa"/>
            <w:tcBorders>
              <w:top w:val="nil"/>
              <w:left w:val="nil"/>
              <w:bottom w:val="single" w:sz="4" w:space="0" w:color="auto"/>
              <w:right w:val="single" w:sz="4" w:space="0" w:color="auto"/>
            </w:tcBorders>
            <w:shd w:val="clear" w:color="000000" w:fill="FFFFFF"/>
            <w:noWrap/>
            <w:vAlign w:val="bottom"/>
            <w:hideMark/>
          </w:tcPr>
          <w:p w14:paraId="40E28D31"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E4F7342"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1007" w:type="dxa"/>
            <w:tcBorders>
              <w:top w:val="nil"/>
              <w:left w:val="nil"/>
              <w:bottom w:val="single" w:sz="4" w:space="0" w:color="auto"/>
              <w:right w:val="single" w:sz="4" w:space="0" w:color="auto"/>
            </w:tcBorders>
            <w:shd w:val="clear" w:color="000000" w:fill="FFFFFF"/>
            <w:noWrap/>
            <w:vAlign w:val="bottom"/>
            <w:hideMark/>
          </w:tcPr>
          <w:p w14:paraId="59057860"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1303" w:type="dxa"/>
            <w:tcBorders>
              <w:top w:val="nil"/>
              <w:left w:val="nil"/>
              <w:bottom w:val="single" w:sz="4" w:space="0" w:color="auto"/>
              <w:right w:val="single" w:sz="4" w:space="0" w:color="auto"/>
            </w:tcBorders>
            <w:shd w:val="clear" w:color="000000" w:fill="FFFFFF"/>
            <w:noWrap/>
            <w:vAlign w:val="bottom"/>
            <w:hideMark/>
          </w:tcPr>
          <w:p w14:paraId="41E7ED11"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6B9A97BC"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03D31A07"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549A2D39"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Biomass</w:t>
            </w:r>
          </w:p>
        </w:tc>
        <w:tc>
          <w:tcPr>
            <w:tcW w:w="1149" w:type="dxa"/>
            <w:tcBorders>
              <w:top w:val="nil"/>
              <w:left w:val="nil"/>
              <w:bottom w:val="single" w:sz="4" w:space="0" w:color="auto"/>
              <w:right w:val="single" w:sz="4" w:space="0" w:color="auto"/>
            </w:tcBorders>
            <w:shd w:val="clear" w:color="000000" w:fill="FFFFFF"/>
            <w:noWrap/>
            <w:vAlign w:val="bottom"/>
            <w:hideMark/>
          </w:tcPr>
          <w:p w14:paraId="39C5C3C4"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4,942</w:t>
            </w:r>
          </w:p>
        </w:tc>
        <w:tc>
          <w:tcPr>
            <w:tcW w:w="984" w:type="dxa"/>
            <w:tcBorders>
              <w:top w:val="nil"/>
              <w:left w:val="nil"/>
              <w:bottom w:val="single" w:sz="4" w:space="0" w:color="auto"/>
              <w:right w:val="single" w:sz="4" w:space="0" w:color="auto"/>
            </w:tcBorders>
            <w:shd w:val="clear" w:color="000000" w:fill="FFFFFF"/>
            <w:noWrap/>
            <w:vAlign w:val="bottom"/>
            <w:hideMark/>
          </w:tcPr>
          <w:p w14:paraId="72F40ACB"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4,232</w:t>
            </w:r>
          </w:p>
        </w:tc>
        <w:tc>
          <w:tcPr>
            <w:tcW w:w="1039" w:type="dxa"/>
            <w:tcBorders>
              <w:top w:val="nil"/>
              <w:left w:val="nil"/>
              <w:bottom w:val="single" w:sz="4" w:space="0" w:color="auto"/>
              <w:right w:val="single" w:sz="4" w:space="0" w:color="auto"/>
            </w:tcBorders>
            <w:shd w:val="clear" w:color="000000" w:fill="FFFFFF"/>
            <w:noWrap/>
            <w:vAlign w:val="bottom"/>
            <w:hideMark/>
          </w:tcPr>
          <w:p w14:paraId="174F10B9"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F41502A"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632</w:t>
            </w:r>
          </w:p>
        </w:tc>
        <w:tc>
          <w:tcPr>
            <w:tcW w:w="1007" w:type="dxa"/>
            <w:tcBorders>
              <w:top w:val="nil"/>
              <w:left w:val="nil"/>
              <w:bottom w:val="single" w:sz="4" w:space="0" w:color="auto"/>
              <w:right w:val="single" w:sz="4" w:space="0" w:color="auto"/>
            </w:tcBorders>
            <w:shd w:val="clear" w:color="000000" w:fill="FFFFFF"/>
            <w:noWrap/>
            <w:vAlign w:val="bottom"/>
            <w:hideMark/>
          </w:tcPr>
          <w:p w14:paraId="17AD35A0"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78</w:t>
            </w:r>
          </w:p>
        </w:tc>
        <w:tc>
          <w:tcPr>
            <w:tcW w:w="1303" w:type="dxa"/>
            <w:tcBorders>
              <w:top w:val="nil"/>
              <w:left w:val="nil"/>
              <w:bottom w:val="single" w:sz="4" w:space="0" w:color="auto"/>
              <w:right w:val="single" w:sz="4" w:space="0" w:color="auto"/>
            </w:tcBorders>
            <w:shd w:val="clear" w:color="000000" w:fill="FFFFFF"/>
            <w:noWrap/>
            <w:vAlign w:val="bottom"/>
            <w:hideMark/>
          </w:tcPr>
          <w:p w14:paraId="6AEEF0D9"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29A3711C"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24BBFE83"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5B1F9AC4"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District heating</w:t>
            </w:r>
          </w:p>
        </w:tc>
        <w:tc>
          <w:tcPr>
            <w:tcW w:w="1149" w:type="dxa"/>
            <w:tcBorders>
              <w:top w:val="nil"/>
              <w:left w:val="nil"/>
              <w:bottom w:val="single" w:sz="4" w:space="0" w:color="auto"/>
              <w:right w:val="single" w:sz="4" w:space="0" w:color="auto"/>
            </w:tcBorders>
            <w:shd w:val="clear" w:color="000000" w:fill="FFFFFF"/>
            <w:noWrap/>
            <w:vAlign w:val="bottom"/>
            <w:hideMark/>
          </w:tcPr>
          <w:p w14:paraId="66812D5D"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1,144</w:t>
            </w:r>
          </w:p>
        </w:tc>
        <w:tc>
          <w:tcPr>
            <w:tcW w:w="984" w:type="dxa"/>
            <w:tcBorders>
              <w:top w:val="nil"/>
              <w:left w:val="nil"/>
              <w:bottom w:val="single" w:sz="4" w:space="0" w:color="auto"/>
              <w:right w:val="single" w:sz="4" w:space="0" w:color="auto"/>
            </w:tcBorders>
            <w:shd w:val="clear" w:color="000000" w:fill="FFFFFF"/>
            <w:noWrap/>
            <w:vAlign w:val="bottom"/>
            <w:hideMark/>
          </w:tcPr>
          <w:p w14:paraId="04B632AA"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1,144</w:t>
            </w:r>
          </w:p>
        </w:tc>
        <w:tc>
          <w:tcPr>
            <w:tcW w:w="1039" w:type="dxa"/>
            <w:tcBorders>
              <w:top w:val="nil"/>
              <w:left w:val="nil"/>
              <w:bottom w:val="single" w:sz="4" w:space="0" w:color="auto"/>
              <w:right w:val="single" w:sz="4" w:space="0" w:color="auto"/>
            </w:tcBorders>
            <w:shd w:val="clear" w:color="000000" w:fill="FFFFFF"/>
            <w:noWrap/>
            <w:vAlign w:val="bottom"/>
            <w:hideMark/>
          </w:tcPr>
          <w:p w14:paraId="5CC24A1F"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24A2611A"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0</w:t>
            </w:r>
          </w:p>
        </w:tc>
        <w:tc>
          <w:tcPr>
            <w:tcW w:w="1007" w:type="dxa"/>
            <w:tcBorders>
              <w:top w:val="nil"/>
              <w:left w:val="nil"/>
              <w:bottom w:val="single" w:sz="4" w:space="0" w:color="auto"/>
              <w:right w:val="single" w:sz="4" w:space="0" w:color="auto"/>
            </w:tcBorders>
            <w:shd w:val="clear" w:color="000000" w:fill="FFFFFF"/>
            <w:noWrap/>
            <w:vAlign w:val="bottom"/>
            <w:hideMark/>
          </w:tcPr>
          <w:p w14:paraId="0473F41F"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1303" w:type="dxa"/>
            <w:tcBorders>
              <w:top w:val="nil"/>
              <w:left w:val="nil"/>
              <w:bottom w:val="single" w:sz="4" w:space="0" w:color="auto"/>
              <w:right w:val="single" w:sz="4" w:space="0" w:color="auto"/>
            </w:tcBorders>
            <w:shd w:val="clear" w:color="000000" w:fill="FFFFFF"/>
            <w:noWrap/>
            <w:vAlign w:val="bottom"/>
            <w:hideMark/>
          </w:tcPr>
          <w:p w14:paraId="6F68FC49"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6CC7C5A0"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7E370AEC"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20AAF214"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Other</w:t>
            </w:r>
          </w:p>
        </w:tc>
        <w:tc>
          <w:tcPr>
            <w:tcW w:w="1149" w:type="dxa"/>
            <w:tcBorders>
              <w:top w:val="nil"/>
              <w:left w:val="nil"/>
              <w:bottom w:val="single" w:sz="4" w:space="0" w:color="auto"/>
              <w:right w:val="single" w:sz="4" w:space="0" w:color="auto"/>
            </w:tcBorders>
            <w:shd w:val="clear" w:color="000000" w:fill="FFFFFF"/>
            <w:noWrap/>
            <w:vAlign w:val="bottom"/>
            <w:hideMark/>
          </w:tcPr>
          <w:p w14:paraId="5915A3EF"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66</w:t>
            </w:r>
          </w:p>
        </w:tc>
        <w:tc>
          <w:tcPr>
            <w:tcW w:w="984" w:type="dxa"/>
            <w:tcBorders>
              <w:top w:val="nil"/>
              <w:left w:val="nil"/>
              <w:bottom w:val="single" w:sz="4" w:space="0" w:color="auto"/>
              <w:right w:val="single" w:sz="4" w:space="0" w:color="auto"/>
            </w:tcBorders>
            <w:shd w:val="clear" w:color="000000" w:fill="FFFFFF"/>
            <w:noWrap/>
            <w:vAlign w:val="bottom"/>
            <w:hideMark/>
          </w:tcPr>
          <w:p w14:paraId="2E3EEA48"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46</w:t>
            </w:r>
          </w:p>
        </w:tc>
        <w:tc>
          <w:tcPr>
            <w:tcW w:w="1039" w:type="dxa"/>
            <w:tcBorders>
              <w:top w:val="nil"/>
              <w:left w:val="nil"/>
              <w:bottom w:val="single" w:sz="4" w:space="0" w:color="auto"/>
              <w:right w:val="single" w:sz="4" w:space="0" w:color="auto"/>
            </w:tcBorders>
            <w:shd w:val="clear" w:color="000000" w:fill="FFFFFF"/>
            <w:noWrap/>
            <w:vAlign w:val="bottom"/>
            <w:hideMark/>
          </w:tcPr>
          <w:p w14:paraId="3EAE998F"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4B45CEC7"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15</w:t>
            </w:r>
          </w:p>
        </w:tc>
        <w:tc>
          <w:tcPr>
            <w:tcW w:w="1007" w:type="dxa"/>
            <w:tcBorders>
              <w:top w:val="nil"/>
              <w:left w:val="nil"/>
              <w:bottom w:val="single" w:sz="4" w:space="0" w:color="auto"/>
              <w:right w:val="single" w:sz="4" w:space="0" w:color="auto"/>
            </w:tcBorders>
            <w:shd w:val="clear" w:color="000000" w:fill="FFFFFF"/>
            <w:noWrap/>
            <w:vAlign w:val="bottom"/>
            <w:hideMark/>
          </w:tcPr>
          <w:p w14:paraId="501A7B3D"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5</w:t>
            </w:r>
          </w:p>
        </w:tc>
        <w:tc>
          <w:tcPr>
            <w:tcW w:w="1303" w:type="dxa"/>
            <w:tcBorders>
              <w:top w:val="nil"/>
              <w:left w:val="nil"/>
              <w:bottom w:val="single" w:sz="4" w:space="0" w:color="auto"/>
              <w:right w:val="single" w:sz="4" w:space="0" w:color="auto"/>
            </w:tcBorders>
            <w:shd w:val="clear" w:color="000000" w:fill="FFFFFF"/>
            <w:noWrap/>
            <w:vAlign w:val="bottom"/>
            <w:hideMark/>
          </w:tcPr>
          <w:p w14:paraId="22F6AFE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 </w:t>
            </w:r>
          </w:p>
        </w:tc>
      </w:tr>
      <w:tr w:rsidR="000D2421" w:rsidRPr="006A346F" w14:paraId="3FA93A15" w14:textId="77777777" w:rsidTr="000D2421">
        <w:trPr>
          <w:trHeight w:val="288"/>
        </w:trPr>
        <w:tc>
          <w:tcPr>
            <w:tcW w:w="1133" w:type="dxa"/>
            <w:vMerge/>
            <w:tcBorders>
              <w:top w:val="single" w:sz="4" w:space="0" w:color="auto"/>
              <w:left w:val="nil"/>
              <w:bottom w:val="nil"/>
              <w:right w:val="single" w:sz="4" w:space="0" w:color="auto"/>
            </w:tcBorders>
            <w:vAlign w:val="center"/>
            <w:hideMark/>
          </w:tcPr>
          <w:p w14:paraId="46F5839C" w14:textId="77777777" w:rsidR="006A346F" w:rsidRPr="006A346F" w:rsidRDefault="006A346F" w:rsidP="006A346F">
            <w:pPr>
              <w:spacing w:after="0" w:line="240" w:lineRule="auto"/>
              <w:jc w:val="left"/>
              <w:rPr>
                <w:rFonts w:ascii="Calibri" w:eastAsia="Times New Roman" w:hAnsi="Calibri" w:cs="Calibri"/>
                <w:b/>
                <w:bCs/>
                <w:color w:val="000000"/>
                <w:kern w:val="0"/>
                <w:lang w:eastAsia="en-GB"/>
                <w14:ligatures w14:val="none"/>
              </w:rPr>
            </w:pPr>
          </w:p>
        </w:tc>
        <w:tc>
          <w:tcPr>
            <w:tcW w:w="1689" w:type="dxa"/>
            <w:tcBorders>
              <w:top w:val="nil"/>
              <w:left w:val="nil"/>
              <w:bottom w:val="single" w:sz="4" w:space="0" w:color="auto"/>
              <w:right w:val="single" w:sz="4" w:space="0" w:color="auto"/>
            </w:tcBorders>
            <w:shd w:val="clear" w:color="000000" w:fill="FFFFFF"/>
            <w:noWrap/>
            <w:vAlign w:val="bottom"/>
            <w:hideMark/>
          </w:tcPr>
          <w:p w14:paraId="53C6D482" w14:textId="77777777" w:rsidR="006A346F" w:rsidRPr="006A346F" w:rsidRDefault="006A346F" w:rsidP="006A346F">
            <w:pPr>
              <w:spacing w:after="0" w:line="240" w:lineRule="auto"/>
              <w:jc w:val="center"/>
              <w:rPr>
                <w:rFonts w:ascii="Calibri" w:eastAsia="Times New Roman" w:hAnsi="Calibri" w:cs="Calibri"/>
                <w:b/>
                <w:bCs/>
                <w:kern w:val="0"/>
                <w:lang w:eastAsia="en-GB"/>
                <w14:ligatures w14:val="none"/>
              </w:rPr>
            </w:pPr>
            <w:r w:rsidRPr="006A346F">
              <w:rPr>
                <w:rFonts w:ascii="Calibri" w:eastAsia="Times New Roman" w:hAnsi="Calibri" w:cs="Calibri"/>
                <w:b/>
                <w:bCs/>
                <w:kern w:val="0"/>
                <w:lang w:eastAsia="en-GB"/>
                <w14:ligatures w14:val="none"/>
              </w:rPr>
              <w:t>Total</w:t>
            </w:r>
          </w:p>
        </w:tc>
        <w:tc>
          <w:tcPr>
            <w:tcW w:w="1149" w:type="dxa"/>
            <w:tcBorders>
              <w:top w:val="nil"/>
              <w:left w:val="nil"/>
              <w:bottom w:val="single" w:sz="4" w:space="0" w:color="auto"/>
              <w:right w:val="single" w:sz="4" w:space="0" w:color="auto"/>
            </w:tcBorders>
            <w:shd w:val="clear" w:color="000000" w:fill="FFFFFF"/>
            <w:noWrap/>
            <w:vAlign w:val="bottom"/>
            <w:hideMark/>
          </w:tcPr>
          <w:p w14:paraId="0DD35B18"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12,467</w:t>
            </w:r>
          </w:p>
        </w:tc>
        <w:tc>
          <w:tcPr>
            <w:tcW w:w="984" w:type="dxa"/>
            <w:tcBorders>
              <w:top w:val="nil"/>
              <w:left w:val="nil"/>
              <w:bottom w:val="single" w:sz="4" w:space="0" w:color="auto"/>
              <w:right w:val="single" w:sz="4" w:space="0" w:color="auto"/>
            </w:tcBorders>
            <w:shd w:val="clear" w:color="000000" w:fill="FFFFFF"/>
            <w:noWrap/>
            <w:vAlign w:val="bottom"/>
            <w:hideMark/>
          </w:tcPr>
          <w:p w14:paraId="005A4F5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7,753</w:t>
            </w:r>
          </w:p>
        </w:tc>
        <w:tc>
          <w:tcPr>
            <w:tcW w:w="1039" w:type="dxa"/>
            <w:tcBorders>
              <w:top w:val="nil"/>
              <w:left w:val="nil"/>
              <w:bottom w:val="single" w:sz="4" w:space="0" w:color="auto"/>
              <w:right w:val="single" w:sz="4" w:space="0" w:color="auto"/>
            </w:tcBorders>
            <w:shd w:val="clear" w:color="000000" w:fill="FFFFFF"/>
            <w:noWrap/>
            <w:vAlign w:val="bottom"/>
            <w:hideMark/>
          </w:tcPr>
          <w:p w14:paraId="23A33345"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42</w:t>
            </w:r>
          </w:p>
        </w:tc>
        <w:tc>
          <w:tcPr>
            <w:tcW w:w="717" w:type="dxa"/>
            <w:tcBorders>
              <w:top w:val="nil"/>
              <w:left w:val="nil"/>
              <w:bottom w:val="single" w:sz="4" w:space="0" w:color="auto"/>
              <w:right w:val="single" w:sz="4" w:space="0" w:color="auto"/>
            </w:tcBorders>
            <w:shd w:val="clear" w:color="000000" w:fill="FFFFFF"/>
            <w:noWrap/>
            <w:vAlign w:val="bottom"/>
            <w:hideMark/>
          </w:tcPr>
          <w:p w14:paraId="46F2B669"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1,692</w:t>
            </w:r>
          </w:p>
        </w:tc>
        <w:tc>
          <w:tcPr>
            <w:tcW w:w="1007" w:type="dxa"/>
            <w:tcBorders>
              <w:top w:val="nil"/>
              <w:left w:val="nil"/>
              <w:bottom w:val="single" w:sz="4" w:space="0" w:color="auto"/>
              <w:right w:val="single" w:sz="4" w:space="0" w:color="auto"/>
            </w:tcBorders>
            <w:shd w:val="clear" w:color="000000" w:fill="FFFFFF"/>
            <w:noWrap/>
            <w:vAlign w:val="bottom"/>
            <w:hideMark/>
          </w:tcPr>
          <w:p w14:paraId="684CA1EC"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1,244</w:t>
            </w:r>
          </w:p>
        </w:tc>
        <w:tc>
          <w:tcPr>
            <w:tcW w:w="1303" w:type="dxa"/>
            <w:tcBorders>
              <w:top w:val="nil"/>
              <w:left w:val="nil"/>
              <w:bottom w:val="single" w:sz="4" w:space="0" w:color="auto"/>
              <w:right w:val="single" w:sz="4" w:space="0" w:color="auto"/>
            </w:tcBorders>
            <w:shd w:val="clear" w:color="000000" w:fill="FFFFFF"/>
            <w:noWrap/>
            <w:vAlign w:val="bottom"/>
            <w:hideMark/>
          </w:tcPr>
          <w:p w14:paraId="5EECDB62" w14:textId="77777777" w:rsidR="006A346F" w:rsidRPr="006A346F" w:rsidRDefault="006A346F" w:rsidP="006A346F">
            <w:pPr>
              <w:spacing w:after="0" w:line="240" w:lineRule="auto"/>
              <w:jc w:val="center"/>
              <w:rPr>
                <w:rFonts w:ascii="Calibri" w:eastAsia="Times New Roman" w:hAnsi="Calibri" w:cs="Calibri"/>
                <w:kern w:val="0"/>
                <w:lang w:eastAsia="en-GB"/>
                <w14:ligatures w14:val="none"/>
              </w:rPr>
            </w:pPr>
            <w:r w:rsidRPr="006A346F">
              <w:rPr>
                <w:rFonts w:ascii="Calibri" w:eastAsia="Times New Roman" w:hAnsi="Calibri" w:cs="Calibri"/>
                <w:kern w:val="0"/>
                <w:lang w:eastAsia="en-GB"/>
                <w14:ligatures w14:val="none"/>
              </w:rPr>
              <w:t>1,736</w:t>
            </w:r>
          </w:p>
        </w:tc>
      </w:tr>
    </w:tbl>
    <w:p w14:paraId="339796AB" w14:textId="77777777" w:rsidR="005522A9" w:rsidRDefault="005522A9" w:rsidP="00215864">
      <w:pPr>
        <w:rPr>
          <w:lang w:val="it-IT"/>
        </w:rPr>
      </w:pPr>
    </w:p>
    <w:p w14:paraId="0FFCB69F" w14:textId="77777777" w:rsidR="00415D88" w:rsidRDefault="00415D88" w:rsidP="00215864">
      <w:pPr>
        <w:rPr>
          <w:lang w:val="it-IT"/>
        </w:rPr>
      </w:pPr>
    </w:p>
    <w:p w14:paraId="7D0D40A0" w14:textId="03D9090B" w:rsidR="00415D88" w:rsidRDefault="00415D88" w:rsidP="00415D88">
      <w:pPr>
        <w:pStyle w:val="Caption"/>
        <w:keepNext/>
      </w:pPr>
      <w:r>
        <w:t xml:space="preserve">Table </w:t>
      </w:r>
      <w:r>
        <w:fldChar w:fldCharType="begin"/>
      </w:r>
      <w:r>
        <w:instrText xml:space="preserve"> SEQ Table \* ARABIC </w:instrText>
      </w:r>
      <w:r>
        <w:fldChar w:fldCharType="separate"/>
      </w:r>
      <w:r w:rsidR="00843A57">
        <w:rPr>
          <w:noProof/>
        </w:rPr>
        <w:t>8</w:t>
      </w:r>
      <w:r>
        <w:fldChar w:fldCharType="end"/>
      </w:r>
      <w:r>
        <w:t>: Illustration of input and results f</w:t>
      </w:r>
      <w:r w:rsidR="00BC2EDC">
        <w:t>r</w:t>
      </w:r>
      <w:r w:rsidR="00E01E1D">
        <w:t>om</w:t>
      </w:r>
      <w:r w:rsidR="00BC2EDC">
        <w:t xml:space="preserve"> CBA</w:t>
      </w:r>
      <w:r w:rsidR="00E01E1D">
        <w:t xml:space="preserve"> for</w:t>
      </w:r>
      <w:r>
        <w:t xml:space="preserve"> Scenario 1</w:t>
      </w:r>
    </w:p>
    <w:p w14:paraId="4FE86768" w14:textId="45BAFFE9" w:rsidR="00415D88" w:rsidRDefault="00415D88" w:rsidP="00215864">
      <w:pPr>
        <w:rPr>
          <w:lang w:val="it-IT"/>
        </w:rPr>
      </w:pPr>
      <w:r w:rsidRPr="00415D88">
        <w:rPr>
          <w:lang w:val="it-IT"/>
        </w:rPr>
        <w:drawing>
          <wp:inline distT="0" distB="0" distL="0" distR="0" wp14:anchorId="31F85A26" wp14:editId="0809DE5A">
            <wp:extent cx="5731510" cy="3600450"/>
            <wp:effectExtent l="0" t="0" r="2540" b="0"/>
            <wp:docPr id="1694748007"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48007" name="Picture 1" descr="A screenshot of a graph&#10;&#10;Description automatically generated"/>
                    <pic:cNvPicPr/>
                  </pic:nvPicPr>
                  <pic:blipFill>
                    <a:blip r:embed="rId13"/>
                    <a:stretch>
                      <a:fillRect/>
                    </a:stretch>
                  </pic:blipFill>
                  <pic:spPr>
                    <a:xfrm>
                      <a:off x="0" y="0"/>
                      <a:ext cx="5731510" cy="3600450"/>
                    </a:xfrm>
                    <a:prstGeom prst="rect">
                      <a:avLst/>
                    </a:prstGeom>
                  </pic:spPr>
                </pic:pic>
              </a:graphicData>
            </a:graphic>
          </wp:inline>
        </w:drawing>
      </w:r>
    </w:p>
    <w:p w14:paraId="25D88C7C" w14:textId="77777777" w:rsidR="00215968" w:rsidRDefault="00215968" w:rsidP="00215864">
      <w:pPr>
        <w:rPr>
          <w:lang w:val="it-IT"/>
        </w:rPr>
      </w:pPr>
    </w:p>
    <w:p w14:paraId="28D72915" w14:textId="77777777" w:rsidR="00215968" w:rsidRDefault="00215968" w:rsidP="00215864">
      <w:pPr>
        <w:rPr>
          <w:lang w:val="it-IT"/>
        </w:rPr>
      </w:pPr>
    </w:p>
    <w:p w14:paraId="4B98DF57" w14:textId="77777777" w:rsidR="00215968" w:rsidRDefault="00215968" w:rsidP="00215864">
      <w:pPr>
        <w:rPr>
          <w:lang w:val="it-IT"/>
        </w:rPr>
      </w:pPr>
    </w:p>
    <w:p w14:paraId="670C109D" w14:textId="77777777" w:rsidR="00215968" w:rsidRDefault="00215968" w:rsidP="00215864">
      <w:pPr>
        <w:rPr>
          <w:lang w:val="it-IT"/>
        </w:rPr>
      </w:pPr>
    </w:p>
    <w:p w14:paraId="21ED2502" w14:textId="77777777" w:rsidR="00215968" w:rsidRDefault="00215968" w:rsidP="00215864">
      <w:pPr>
        <w:rPr>
          <w:lang w:val="it-IT"/>
        </w:rPr>
      </w:pPr>
    </w:p>
    <w:p w14:paraId="7659FB11" w14:textId="2B5BD57A" w:rsidR="00F279FE" w:rsidRDefault="00F279FE" w:rsidP="00F279FE">
      <w:pPr>
        <w:pStyle w:val="Caption"/>
        <w:keepNext/>
      </w:pPr>
      <w:r>
        <w:t xml:space="preserve">Table </w:t>
      </w:r>
      <w:r>
        <w:fldChar w:fldCharType="begin"/>
      </w:r>
      <w:r>
        <w:instrText xml:space="preserve"> SEQ Table \* ARABIC </w:instrText>
      </w:r>
      <w:r>
        <w:fldChar w:fldCharType="separate"/>
      </w:r>
      <w:r w:rsidR="00843A57">
        <w:rPr>
          <w:noProof/>
        </w:rPr>
        <w:t>9</w:t>
      </w:r>
      <w:r>
        <w:fldChar w:fldCharType="end"/>
      </w:r>
      <w:r>
        <w:t>: Illustration of results per year resulting from CBA for Scenario 1</w:t>
      </w:r>
    </w:p>
    <w:tbl>
      <w:tblPr>
        <w:tblW w:w="10281" w:type="dxa"/>
        <w:tblInd w:w="-632" w:type="dxa"/>
        <w:tblLook w:val="04A0" w:firstRow="1" w:lastRow="0" w:firstColumn="1" w:lastColumn="0" w:noHBand="0" w:noVBand="1"/>
      </w:tblPr>
      <w:tblGrid>
        <w:gridCol w:w="694"/>
        <w:gridCol w:w="957"/>
        <w:gridCol w:w="1075"/>
        <w:gridCol w:w="1384"/>
        <w:gridCol w:w="1502"/>
        <w:gridCol w:w="1502"/>
        <w:gridCol w:w="1576"/>
        <w:gridCol w:w="1591"/>
      </w:tblGrid>
      <w:tr w:rsidR="00215968" w:rsidRPr="00215968" w14:paraId="2CCC89D9" w14:textId="77777777" w:rsidTr="00215968">
        <w:trPr>
          <w:trHeight w:val="287"/>
        </w:trPr>
        <w:tc>
          <w:tcPr>
            <w:tcW w:w="694"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5D2A96C6"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Year</w:t>
            </w:r>
          </w:p>
        </w:tc>
        <w:tc>
          <w:tcPr>
            <w:tcW w:w="957" w:type="dxa"/>
            <w:tcBorders>
              <w:top w:val="single" w:sz="4" w:space="0" w:color="auto"/>
              <w:left w:val="nil"/>
              <w:bottom w:val="single" w:sz="4" w:space="0" w:color="auto"/>
              <w:right w:val="single" w:sz="4" w:space="0" w:color="auto"/>
            </w:tcBorders>
            <w:shd w:val="clear" w:color="000000" w:fill="C0C0C0"/>
            <w:noWrap/>
            <w:vAlign w:val="bottom"/>
            <w:hideMark/>
          </w:tcPr>
          <w:p w14:paraId="45E70544"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O&amp;M Cost</w:t>
            </w:r>
          </w:p>
        </w:tc>
        <w:tc>
          <w:tcPr>
            <w:tcW w:w="1075" w:type="dxa"/>
            <w:tcBorders>
              <w:top w:val="single" w:sz="4" w:space="0" w:color="auto"/>
              <w:left w:val="nil"/>
              <w:bottom w:val="single" w:sz="4" w:space="0" w:color="auto"/>
              <w:right w:val="single" w:sz="4" w:space="0" w:color="auto"/>
            </w:tcBorders>
            <w:shd w:val="clear" w:color="000000" w:fill="C0C0C0"/>
            <w:noWrap/>
            <w:vAlign w:val="bottom"/>
            <w:hideMark/>
          </w:tcPr>
          <w:p w14:paraId="4AC1EBA7"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O&amp;M Benefit</w:t>
            </w:r>
          </w:p>
        </w:tc>
        <w:tc>
          <w:tcPr>
            <w:tcW w:w="1384" w:type="dxa"/>
            <w:tcBorders>
              <w:top w:val="single" w:sz="4" w:space="0" w:color="auto"/>
              <w:left w:val="nil"/>
              <w:bottom w:val="single" w:sz="4" w:space="0" w:color="auto"/>
              <w:right w:val="single" w:sz="4" w:space="0" w:color="auto"/>
            </w:tcBorders>
            <w:shd w:val="clear" w:color="000000" w:fill="C0C0C0"/>
            <w:noWrap/>
            <w:vAlign w:val="bottom"/>
            <w:hideMark/>
          </w:tcPr>
          <w:p w14:paraId="0C7A395E"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Fuel cost</w:t>
            </w:r>
          </w:p>
        </w:tc>
        <w:tc>
          <w:tcPr>
            <w:tcW w:w="1502" w:type="dxa"/>
            <w:tcBorders>
              <w:top w:val="single" w:sz="4" w:space="0" w:color="auto"/>
              <w:left w:val="nil"/>
              <w:bottom w:val="single" w:sz="4" w:space="0" w:color="auto"/>
              <w:right w:val="single" w:sz="4" w:space="0" w:color="auto"/>
            </w:tcBorders>
            <w:shd w:val="clear" w:color="000000" w:fill="C0C0C0"/>
            <w:noWrap/>
            <w:vAlign w:val="bottom"/>
            <w:hideMark/>
          </w:tcPr>
          <w:p w14:paraId="47F77A81"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Fuel benefit</w:t>
            </w:r>
          </w:p>
        </w:tc>
        <w:tc>
          <w:tcPr>
            <w:tcW w:w="1502" w:type="dxa"/>
            <w:tcBorders>
              <w:top w:val="single" w:sz="4" w:space="0" w:color="auto"/>
              <w:left w:val="nil"/>
              <w:bottom w:val="single" w:sz="4" w:space="0" w:color="auto"/>
              <w:right w:val="single" w:sz="4" w:space="0" w:color="auto"/>
            </w:tcBorders>
            <w:shd w:val="clear" w:color="000000" w:fill="C0C0C0"/>
            <w:noWrap/>
            <w:vAlign w:val="bottom"/>
            <w:hideMark/>
          </w:tcPr>
          <w:p w14:paraId="7C2378E8"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Investment cost</w:t>
            </w:r>
          </w:p>
        </w:tc>
        <w:tc>
          <w:tcPr>
            <w:tcW w:w="1576" w:type="dxa"/>
            <w:tcBorders>
              <w:top w:val="single" w:sz="4" w:space="0" w:color="auto"/>
              <w:left w:val="nil"/>
              <w:bottom w:val="single" w:sz="4" w:space="0" w:color="auto"/>
              <w:right w:val="single" w:sz="4" w:space="0" w:color="auto"/>
            </w:tcBorders>
            <w:shd w:val="clear" w:color="000000" w:fill="C0C0C0"/>
            <w:noWrap/>
            <w:vAlign w:val="bottom"/>
            <w:hideMark/>
          </w:tcPr>
          <w:p w14:paraId="77E25882"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Remaining value</w:t>
            </w:r>
          </w:p>
        </w:tc>
        <w:tc>
          <w:tcPr>
            <w:tcW w:w="1591" w:type="dxa"/>
            <w:tcBorders>
              <w:top w:val="single" w:sz="4" w:space="0" w:color="auto"/>
              <w:left w:val="nil"/>
              <w:bottom w:val="single" w:sz="4" w:space="0" w:color="auto"/>
              <w:right w:val="single" w:sz="4" w:space="0" w:color="auto"/>
            </w:tcBorders>
            <w:shd w:val="clear" w:color="000000" w:fill="C0C0C0"/>
            <w:noWrap/>
            <w:vAlign w:val="bottom"/>
            <w:hideMark/>
          </w:tcPr>
          <w:p w14:paraId="416A79B9"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Net cash flow</w:t>
            </w:r>
          </w:p>
        </w:tc>
      </w:tr>
      <w:tr w:rsidR="00215968" w:rsidRPr="00215968" w14:paraId="617F13F8"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3DD102E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w:t>
            </w:r>
          </w:p>
        </w:tc>
        <w:tc>
          <w:tcPr>
            <w:tcW w:w="957" w:type="dxa"/>
            <w:tcBorders>
              <w:top w:val="nil"/>
              <w:left w:val="nil"/>
              <w:bottom w:val="single" w:sz="4" w:space="0" w:color="auto"/>
              <w:right w:val="single" w:sz="4" w:space="0" w:color="auto"/>
            </w:tcBorders>
            <w:shd w:val="clear" w:color="000000" w:fill="FFFFFF"/>
            <w:noWrap/>
            <w:vAlign w:val="bottom"/>
            <w:hideMark/>
          </w:tcPr>
          <w:p w14:paraId="166A27A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075" w:type="dxa"/>
            <w:tcBorders>
              <w:top w:val="nil"/>
              <w:left w:val="nil"/>
              <w:bottom w:val="single" w:sz="4" w:space="0" w:color="auto"/>
              <w:right w:val="single" w:sz="4" w:space="0" w:color="auto"/>
            </w:tcBorders>
            <w:shd w:val="clear" w:color="000000" w:fill="FFFFFF"/>
            <w:noWrap/>
            <w:vAlign w:val="bottom"/>
            <w:hideMark/>
          </w:tcPr>
          <w:p w14:paraId="0180C8B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384" w:type="dxa"/>
            <w:tcBorders>
              <w:top w:val="nil"/>
              <w:left w:val="nil"/>
              <w:bottom w:val="single" w:sz="4" w:space="0" w:color="auto"/>
              <w:right w:val="single" w:sz="4" w:space="0" w:color="auto"/>
            </w:tcBorders>
            <w:shd w:val="clear" w:color="000000" w:fill="FFFFFF"/>
            <w:noWrap/>
            <w:vAlign w:val="bottom"/>
            <w:hideMark/>
          </w:tcPr>
          <w:p w14:paraId="44A0655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02" w:type="dxa"/>
            <w:tcBorders>
              <w:top w:val="nil"/>
              <w:left w:val="nil"/>
              <w:bottom w:val="single" w:sz="4" w:space="0" w:color="auto"/>
              <w:right w:val="single" w:sz="4" w:space="0" w:color="auto"/>
            </w:tcBorders>
            <w:shd w:val="clear" w:color="000000" w:fill="FFFFFF"/>
            <w:noWrap/>
            <w:vAlign w:val="bottom"/>
            <w:hideMark/>
          </w:tcPr>
          <w:p w14:paraId="585CFDD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02" w:type="dxa"/>
            <w:tcBorders>
              <w:top w:val="nil"/>
              <w:left w:val="nil"/>
              <w:bottom w:val="single" w:sz="4" w:space="0" w:color="auto"/>
              <w:right w:val="single" w:sz="4" w:space="0" w:color="auto"/>
            </w:tcBorders>
            <w:shd w:val="clear" w:color="000000" w:fill="FFFFFF"/>
            <w:noWrap/>
            <w:vAlign w:val="bottom"/>
            <w:hideMark/>
          </w:tcPr>
          <w:p w14:paraId="0284209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3,262,500,000 €</w:t>
            </w:r>
          </w:p>
        </w:tc>
        <w:tc>
          <w:tcPr>
            <w:tcW w:w="1576" w:type="dxa"/>
            <w:tcBorders>
              <w:top w:val="nil"/>
              <w:left w:val="nil"/>
              <w:bottom w:val="single" w:sz="4" w:space="0" w:color="auto"/>
              <w:right w:val="single" w:sz="4" w:space="0" w:color="auto"/>
            </w:tcBorders>
            <w:shd w:val="clear" w:color="000000" w:fill="FFFFFF"/>
            <w:noWrap/>
            <w:vAlign w:val="bottom"/>
            <w:hideMark/>
          </w:tcPr>
          <w:p w14:paraId="21E30CC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1E6D486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-3,262,500,000 €</w:t>
            </w:r>
          </w:p>
        </w:tc>
      </w:tr>
      <w:tr w:rsidR="00215968" w:rsidRPr="00215968" w14:paraId="5A62A8EC"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632E03A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w:t>
            </w:r>
          </w:p>
        </w:tc>
        <w:tc>
          <w:tcPr>
            <w:tcW w:w="957" w:type="dxa"/>
            <w:tcBorders>
              <w:top w:val="nil"/>
              <w:left w:val="nil"/>
              <w:bottom w:val="single" w:sz="4" w:space="0" w:color="auto"/>
              <w:right w:val="single" w:sz="4" w:space="0" w:color="auto"/>
            </w:tcBorders>
            <w:shd w:val="clear" w:color="000000" w:fill="FFFFFF"/>
            <w:noWrap/>
            <w:vAlign w:val="bottom"/>
            <w:hideMark/>
          </w:tcPr>
          <w:p w14:paraId="774F39D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3569F57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CF9ED4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5B0FC47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06F0A14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58682CC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2F89F40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7E1AB404"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15F7486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w:t>
            </w:r>
          </w:p>
        </w:tc>
        <w:tc>
          <w:tcPr>
            <w:tcW w:w="957" w:type="dxa"/>
            <w:tcBorders>
              <w:top w:val="nil"/>
              <w:left w:val="nil"/>
              <w:bottom w:val="single" w:sz="4" w:space="0" w:color="auto"/>
              <w:right w:val="single" w:sz="4" w:space="0" w:color="auto"/>
            </w:tcBorders>
            <w:shd w:val="clear" w:color="000000" w:fill="FFFFFF"/>
            <w:noWrap/>
            <w:vAlign w:val="bottom"/>
            <w:hideMark/>
          </w:tcPr>
          <w:p w14:paraId="4AA1ECD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4106CD6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D02496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1BC6A04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2DFE9B0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1B8F3FD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6190766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564FC288"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6178E78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3</w:t>
            </w:r>
          </w:p>
        </w:tc>
        <w:tc>
          <w:tcPr>
            <w:tcW w:w="957" w:type="dxa"/>
            <w:tcBorders>
              <w:top w:val="nil"/>
              <w:left w:val="nil"/>
              <w:bottom w:val="single" w:sz="4" w:space="0" w:color="auto"/>
              <w:right w:val="single" w:sz="4" w:space="0" w:color="auto"/>
            </w:tcBorders>
            <w:shd w:val="clear" w:color="000000" w:fill="FFFFFF"/>
            <w:noWrap/>
            <w:vAlign w:val="bottom"/>
            <w:hideMark/>
          </w:tcPr>
          <w:p w14:paraId="7657EDD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264CB80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683D043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07D78EB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738BE3E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58B3807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79553E9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1860673A"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4CE6CFE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4</w:t>
            </w:r>
          </w:p>
        </w:tc>
        <w:tc>
          <w:tcPr>
            <w:tcW w:w="957" w:type="dxa"/>
            <w:tcBorders>
              <w:top w:val="nil"/>
              <w:left w:val="nil"/>
              <w:bottom w:val="single" w:sz="4" w:space="0" w:color="auto"/>
              <w:right w:val="single" w:sz="4" w:space="0" w:color="auto"/>
            </w:tcBorders>
            <w:shd w:val="clear" w:color="000000" w:fill="FFFFFF"/>
            <w:noWrap/>
            <w:vAlign w:val="bottom"/>
            <w:hideMark/>
          </w:tcPr>
          <w:p w14:paraId="4DC3558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59B49F6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0154860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22A61F7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5A130F0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28342DE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74D1316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525345EC"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4564E1D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5</w:t>
            </w:r>
          </w:p>
        </w:tc>
        <w:tc>
          <w:tcPr>
            <w:tcW w:w="957" w:type="dxa"/>
            <w:tcBorders>
              <w:top w:val="nil"/>
              <w:left w:val="nil"/>
              <w:bottom w:val="single" w:sz="4" w:space="0" w:color="auto"/>
              <w:right w:val="single" w:sz="4" w:space="0" w:color="auto"/>
            </w:tcBorders>
            <w:shd w:val="clear" w:color="000000" w:fill="FFFFFF"/>
            <w:noWrap/>
            <w:vAlign w:val="bottom"/>
            <w:hideMark/>
          </w:tcPr>
          <w:p w14:paraId="4A385FF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6FC6CB1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86B1AC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7FF05A0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2BAAEC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0ED032C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6437F8D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2E17B1B9"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5FAE507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6</w:t>
            </w:r>
          </w:p>
        </w:tc>
        <w:tc>
          <w:tcPr>
            <w:tcW w:w="957" w:type="dxa"/>
            <w:tcBorders>
              <w:top w:val="nil"/>
              <w:left w:val="nil"/>
              <w:bottom w:val="single" w:sz="4" w:space="0" w:color="auto"/>
              <w:right w:val="single" w:sz="4" w:space="0" w:color="auto"/>
            </w:tcBorders>
            <w:shd w:val="clear" w:color="000000" w:fill="FFFFFF"/>
            <w:noWrap/>
            <w:vAlign w:val="bottom"/>
            <w:hideMark/>
          </w:tcPr>
          <w:p w14:paraId="3D50D37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60CE7DC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6CBD63C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38A9097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7DC8A4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72B15ED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198F6B6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067983FB"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5E09CA3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7</w:t>
            </w:r>
          </w:p>
        </w:tc>
        <w:tc>
          <w:tcPr>
            <w:tcW w:w="957" w:type="dxa"/>
            <w:tcBorders>
              <w:top w:val="nil"/>
              <w:left w:val="nil"/>
              <w:bottom w:val="single" w:sz="4" w:space="0" w:color="auto"/>
              <w:right w:val="single" w:sz="4" w:space="0" w:color="auto"/>
            </w:tcBorders>
            <w:shd w:val="clear" w:color="000000" w:fill="FFFFFF"/>
            <w:noWrap/>
            <w:vAlign w:val="bottom"/>
            <w:hideMark/>
          </w:tcPr>
          <w:p w14:paraId="38A083A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00E7F41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5D8CD0D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7E343C1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34F32DC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703108A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2426FB0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056DA61D"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7EC8E36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8</w:t>
            </w:r>
          </w:p>
        </w:tc>
        <w:tc>
          <w:tcPr>
            <w:tcW w:w="957" w:type="dxa"/>
            <w:tcBorders>
              <w:top w:val="nil"/>
              <w:left w:val="nil"/>
              <w:bottom w:val="single" w:sz="4" w:space="0" w:color="auto"/>
              <w:right w:val="single" w:sz="4" w:space="0" w:color="auto"/>
            </w:tcBorders>
            <w:shd w:val="clear" w:color="000000" w:fill="FFFFFF"/>
            <w:noWrap/>
            <w:vAlign w:val="bottom"/>
            <w:hideMark/>
          </w:tcPr>
          <w:p w14:paraId="7BC8376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4B03A1D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6565CE4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0DA7C46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78265CE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72C6568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3DF1EF1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3A947FD4"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5A8A63D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9</w:t>
            </w:r>
          </w:p>
        </w:tc>
        <w:tc>
          <w:tcPr>
            <w:tcW w:w="957" w:type="dxa"/>
            <w:tcBorders>
              <w:top w:val="nil"/>
              <w:left w:val="nil"/>
              <w:bottom w:val="single" w:sz="4" w:space="0" w:color="auto"/>
              <w:right w:val="single" w:sz="4" w:space="0" w:color="auto"/>
            </w:tcBorders>
            <w:shd w:val="clear" w:color="000000" w:fill="FFFFFF"/>
            <w:noWrap/>
            <w:vAlign w:val="bottom"/>
            <w:hideMark/>
          </w:tcPr>
          <w:p w14:paraId="0A2485D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362E9FE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5B9603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23AD357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6E9BA8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0FA596C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5E95F99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0759FDF6"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6DF8B26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10</w:t>
            </w:r>
          </w:p>
        </w:tc>
        <w:tc>
          <w:tcPr>
            <w:tcW w:w="957" w:type="dxa"/>
            <w:tcBorders>
              <w:top w:val="nil"/>
              <w:left w:val="nil"/>
              <w:bottom w:val="single" w:sz="4" w:space="0" w:color="auto"/>
              <w:right w:val="single" w:sz="4" w:space="0" w:color="auto"/>
            </w:tcBorders>
            <w:shd w:val="clear" w:color="000000" w:fill="FFFFFF"/>
            <w:noWrap/>
            <w:vAlign w:val="bottom"/>
            <w:hideMark/>
          </w:tcPr>
          <w:p w14:paraId="78E19AD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01FF3B5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794932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59DF415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64DAEAE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3D730F5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021F570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727A9800"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2270811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11</w:t>
            </w:r>
          </w:p>
        </w:tc>
        <w:tc>
          <w:tcPr>
            <w:tcW w:w="957" w:type="dxa"/>
            <w:tcBorders>
              <w:top w:val="nil"/>
              <w:left w:val="nil"/>
              <w:bottom w:val="single" w:sz="4" w:space="0" w:color="auto"/>
              <w:right w:val="single" w:sz="4" w:space="0" w:color="auto"/>
            </w:tcBorders>
            <w:shd w:val="clear" w:color="000000" w:fill="FFFFFF"/>
            <w:noWrap/>
            <w:vAlign w:val="bottom"/>
            <w:hideMark/>
          </w:tcPr>
          <w:p w14:paraId="51160F9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5660EB2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5F2B4BA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1B014C5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1BDB3C5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44A6A40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47F08DBE"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25563C9B"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64261A0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12</w:t>
            </w:r>
          </w:p>
        </w:tc>
        <w:tc>
          <w:tcPr>
            <w:tcW w:w="957" w:type="dxa"/>
            <w:tcBorders>
              <w:top w:val="nil"/>
              <w:left w:val="nil"/>
              <w:bottom w:val="single" w:sz="4" w:space="0" w:color="auto"/>
              <w:right w:val="single" w:sz="4" w:space="0" w:color="auto"/>
            </w:tcBorders>
            <w:shd w:val="clear" w:color="000000" w:fill="FFFFFF"/>
            <w:noWrap/>
            <w:vAlign w:val="bottom"/>
            <w:hideMark/>
          </w:tcPr>
          <w:p w14:paraId="24C088A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09485FC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88EB2E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5572137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1460D9D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6292471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20BD9DA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5522D4B1"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785FC27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13</w:t>
            </w:r>
          </w:p>
        </w:tc>
        <w:tc>
          <w:tcPr>
            <w:tcW w:w="957" w:type="dxa"/>
            <w:tcBorders>
              <w:top w:val="nil"/>
              <w:left w:val="nil"/>
              <w:bottom w:val="single" w:sz="4" w:space="0" w:color="auto"/>
              <w:right w:val="single" w:sz="4" w:space="0" w:color="auto"/>
            </w:tcBorders>
            <w:shd w:val="clear" w:color="000000" w:fill="FFFFFF"/>
            <w:noWrap/>
            <w:vAlign w:val="bottom"/>
            <w:hideMark/>
          </w:tcPr>
          <w:p w14:paraId="0CB496B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0705CC2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0475FBC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3D49456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3EF781A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38353D8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6D8652C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52F5F8FD"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344664E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14</w:t>
            </w:r>
          </w:p>
        </w:tc>
        <w:tc>
          <w:tcPr>
            <w:tcW w:w="957" w:type="dxa"/>
            <w:tcBorders>
              <w:top w:val="nil"/>
              <w:left w:val="nil"/>
              <w:bottom w:val="single" w:sz="4" w:space="0" w:color="auto"/>
              <w:right w:val="single" w:sz="4" w:space="0" w:color="auto"/>
            </w:tcBorders>
            <w:shd w:val="clear" w:color="000000" w:fill="FFFFFF"/>
            <w:noWrap/>
            <w:vAlign w:val="bottom"/>
            <w:hideMark/>
          </w:tcPr>
          <w:p w14:paraId="0B99497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12A3E40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3470725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58DEF5C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7C87B76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7D93914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213A41A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4824BD09"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415DE0C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15</w:t>
            </w:r>
          </w:p>
        </w:tc>
        <w:tc>
          <w:tcPr>
            <w:tcW w:w="957" w:type="dxa"/>
            <w:tcBorders>
              <w:top w:val="nil"/>
              <w:left w:val="nil"/>
              <w:bottom w:val="single" w:sz="4" w:space="0" w:color="auto"/>
              <w:right w:val="single" w:sz="4" w:space="0" w:color="auto"/>
            </w:tcBorders>
            <w:shd w:val="clear" w:color="000000" w:fill="FFFFFF"/>
            <w:noWrap/>
            <w:vAlign w:val="bottom"/>
            <w:hideMark/>
          </w:tcPr>
          <w:p w14:paraId="4984BDC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04708D4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6CE983E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5577542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5DE4E8A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31BD881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4F1A89C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1458B3A7"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4474D40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16</w:t>
            </w:r>
          </w:p>
        </w:tc>
        <w:tc>
          <w:tcPr>
            <w:tcW w:w="957" w:type="dxa"/>
            <w:tcBorders>
              <w:top w:val="nil"/>
              <w:left w:val="nil"/>
              <w:bottom w:val="single" w:sz="4" w:space="0" w:color="auto"/>
              <w:right w:val="single" w:sz="4" w:space="0" w:color="auto"/>
            </w:tcBorders>
            <w:shd w:val="clear" w:color="000000" w:fill="FFFFFF"/>
            <w:noWrap/>
            <w:vAlign w:val="bottom"/>
            <w:hideMark/>
          </w:tcPr>
          <w:p w14:paraId="50F67DC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1B455EA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4F4D923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6DF069B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3B14110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0BDE367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66DBABB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0A45D8E4"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29F0CB6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17</w:t>
            </w:r>
          </w:p>
        </w:tc>
        <w:tc>
          <w:tcPr>
            <w:tcW w:w="957" w:type="dxa"/>
            <w:tcBorders>
              <w:top w:val="nil"/>
              <w:left w:val="nil"/>
              <w:bottom w:val="single" w:sz="4" w:space="0" w:color="auto"/>
              <w:right w:val="single" w:sz="4" w:space="0" w:color="auto"/>
            </w:tcBorders>
            <w:shd w:val="clear" w:color="000000" w:fill="FFFFFF"/>
            <w:noWrap/>
            <w:vAlign w:val="bottom"/>
            <w:hideMark/>
          </w:tcPr>
          <w:p w14:paraId="15B8486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59BE2EF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701BD51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76CB227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69F5BE7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1397CA1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4130DAC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1923F92C"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349E591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18</w:t>
            </w:r>
          </w:p>
        </w:tc>
        <w:tc>
          <w:tcPr>
            <w:tcW w:w="957" w:type="dxa"/>
            <w:tcBorders>
              <w:top w:val="nil"/>
              <w:left w:val="nil"/>
              <w:bottom w:val="single" w:sz="4" w:space="0" w:color="auto"/>
              <w:right w:val="single" w:sz="4" w:space="0" w:color="auto"/>
            </w:tcBorders>
            <w:shd w:val="clear" w:color="000000" w:fill="FFFFFF"/>
            <w:noWrap/>
            <w:vAlign w:val="bottom"/>
            <w:hideMark/>
          </w:tcPr>
          <w:p w14:paraId="39CC1B3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663D341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550372A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0051470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91ECEC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3DEE9B94"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05D3605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6E34DE4D"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141AC15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19</w:t>
            </w:r>
          </w:p>
        </w:tc>
        <w:tc>
          <w:tcPr>
            <w:tcW w:w="957" w:type="dxa"/>
            <w:tcBorders>
              <w:top w:val="nil"/>
              <w:left w:val="nil"/>
              <w:bottom w:val="single" w:sz="4" w:space="0" w:color="auto"/>
              <w:right w:val="single" w:sz="4" w:space="0" w:color="auto"/>
            </w:tcBorders>
            <w:shd w:val="clear" w:color="000000" w:fill="FFFFFF"/>
            <w:noWrap/>
            <w:vAlign w:val="bottom"/>
            <w:hideMark/>
          </w:tcPr>
          <w:p w14:paraId="6178BEFC"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7043BE3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71E4F05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76E5017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A75ED3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29199592"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558BC5EC"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39EB3EAE"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7D411B9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20</w:t>
            </w:r>
          </w:p>
        </w:tc>
        <w:tc>
          <w:tcPr>
            <w:tcW w:w="957" w:type="dxa"/>
            <w:tcBorders>
              <w:top w:val="nil"/>
              <w:left w:val="nil"/>
              <w:bottom w:val="single" w:sz="4" w:space="0" w:color="auto"/>
              <w:right w:val="single" w:sz="4" w:space="0" w:color="auto"/>
            </w:tcBorders>
            <w:shd w:val="clear" w:color="000000" w:fill="FFFFFF"/>
            <w:noWrap/>
            <w:vAlign w:val="bottom"/>
            <w:hideMark/>
          </w:tcPr>
          <w:p w14:paraId="45CB839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2B83D95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7C360C9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408DCDD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1B1F0BA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110F996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1E7CEF0B"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5A3D4B7C"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10D0703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21</w:t>
            </w:r>
          </w:p>
        </w:tc>
        <w:tc>
          <w:tcPr>
            <w:tcW w:w="957" w:type="dxa"/>
            <w:tcBorders>
              <w:top w:val="nil"/>
              <w:left w:val="nil"/>
              <w:bottom w:val="single" w:sz="4" w:space="0" w:color="auto"/>
              <w:right w:val="single" w:sz="4" w:space="0" w:color="auto"/>
            </w:tcBorders>
            <w:shd w:val="clear" w:color="000000" w:fill="FFFFFF"/>
            <w:noWrap/>
            <w:vAlign w:val="bottom"/>
            <w:hideMark/>
          </w:tcPr>
          <w:p w14:paraId="276D505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27AEC33D"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7684BB2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5D0C7F4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37C15AC"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0A582E85"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73FD5F4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1E5C0E9F"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7C85B77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22</w:t>
            </w:r>
          </w:p>
        </w:tc>
        <w:tc>
          <w:tcPr>
            <w:tcW w:w="957" w:type="dxa"/>
            <w:tcBorders>
              <w:top w:val="nil"/>
              <w:left w:val="nil"/>
              <w:bottom w:val="single" w:sz="4" w:space="0" w:color="auto"/>
              <w:right w:val="single" w:sz="4" w:space="0" w:color="auto"/>
            </w:tcBorders>
            <w:shd w:val="clear" w:color="000000" w:fill="FFFFFF"/>
            <w:noWrap/>
            <w:vAlign w:val="bottom"/>
            <w:hideMark/>
          </w:tcPr>
          <w:p w14:paraId="30DC9E9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1ABC9D4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50E9D2B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35461D0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5DD4B89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44BA35EC"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36B379F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3CCAE33F"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4CA99B3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23</w:t>
            </w:r>
          </w:p>
        </w:tc>
        <w:tc>
          <w:tcPr>
            <w:tcW w:w="957" w:type="dxa"/>
            <w:tcBorders>
              <w:top w:val="nil"/>
              <w:left w:val="nil"/>
              <w:bottom w:val="single" w:sz="4" w:space="0" w:color="auto"/>
              <w:right w:val="single" w:sz="4" w:space="0" w:color="auto"/>
            </w:tcBorders>
            <w:shd w:val="clear" w:color="000000" w:fill="FFFFFF"/>
            <w:noWrap/>
            <w:vAlign w:val="bottom"/>
            <w:hideMark/>
          </w:tcPr>
          <w:p w14:paraId="21B4625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202CDFB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748F805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403A818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1F88440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49A5AF0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7438A97C"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11FD2FD9"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4E7CC2A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24</w:t>
            </w:r>
          </w:p>
        </w:tc>
        <w:tc>
          <w:tcPr>
            <w:tcW w:w="957" w:type="dxa"/>
            <w:tcBorders>
              <w:top w:val="nil"/>
              <w:left w:val="nil"/>
              <w:bottom w:val="single" w:sz="4" w:space="0" w:color="auto"/>
              <w:right w:val="single" w:sz="4" w:space="0" w:color="auto"/>
            </w:tcBorders>
            <w:shd w:val="clear" w:color="000000" w:fill="FFFFFF"/>
            <w:noWrap/>
            <w:vAlign w:val="bottom"/>
            <w:hideMark/>
          </w:tcPr>
          <w:p w14:paraId="23434CB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67E1F09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61D816A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39EA65FA"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7057091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56041543"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91" w:type="dxa"/>
            <w:tcBorders>
              <w:top w:val="nil"/>
              <w:left w:val="nil"/>
              <w:bottom w:val="single" w:sz="4" w:space="0" w:color="auto"/>
              <w:right w:val="single" w:sz="4" w:space="0" w:color="auto"/>
            </w:tcBorders>
            <w:shd w:val="clear" w:color="000000" w:fill="FFFFFF"/>
            <w:noWrap/>
            <w:vAlign w:val="bottom"/>
            <w:hideMark/>
          </w:tcPr>
          <w:p w14:paraId="75B092D0"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r>
      <w:tr w:rsidR="00215968" w:rsidRPr="00215968" w14:paraId="60D2AF9A" w14:textId="77777777" w:rsidTr="00215968">
        <w:trPr>
          <w:trHeight w:val="287"/>
        </w:trPr>
        <w:tc>
          <w:tcPr>
            <w:tcW w:w="694" w:type="dxa"/>
            <w:tcBorders>
              <w:top w:val="nil"/>
              <w:left w:val="single" w:sz="4" w:space="0" w:color="auto"/>
              <w:bottom w:val="single" w:sz="4" w:space="0" w:color="auto"/>
              <w:right w:val="single" w:sz="4" w:space="0" w:color="auto"/>
            </w:tcBorders>
            <w:shd w:val="clear" w:color="000000" w:fill="FFFFFF"/>
            <w:noWrap/>
            <w:vAlign w:val="bottom"/>
            <w:hideMark/>
          </w:tcPr>
          <w:p w14:paraId="39215C1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25</w:t>
            </w:r>
          </w:p>
        </w:tc>
        <w:tc>
          <w:tcPr>
            <w:tcW w:w="957" w:type="dxa"/>
            <w:tcBorders>
              <w:top w:val="nil"/>
              <w:left w:val="nil"/>
              <w:bottom w:val="single" w:sz="4" w:space="0" w:color="auto"/>
              <w:right w:val="single" w:sz="4" w:space="0" w:color="auto"/>
            </w:tcBorders>
            <w:shd w:val="clear" w:color="000000" w:fill="FFFFFF"/>
            <w:noWrap/>
            <w:vAlign w:val="bottom"/>
            <w:hideMark/>
          </w:tcPr>
          <w:p w14:paraId="4FD6CA6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FFFFF"/>
            <w:noWrap/>
            <w:vAlign w:val="bottom"/>
            <w:hideMark/>
          </w:tcPr>
          <w:p w14:paraId="7E1FA868"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FFFFF"/>
            <w:noWrap/>
            <w:vAlign w:val="bottom"/>
            <w:hideMark/>
          </w:tcPr>
          <w:p w14:paraId="1F8C9991"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FFFFF"/>
            <w:noWrap/>
            <w:vAlign w:val="bottom"/>
            <w:hideMark/>
          </w:tcPr>
          <w:p w14:paraId="6FEC05D9"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€ 86,698,123</w:t>
            </w:r>
          </w:p>
        </w:tc>
        <w:tc>
          <w:tcPr>
            <w:tcW w:w="1502" w:type="dxa"/>
            <w:tcBorders>
              <w:top w:val="nil"/>
              <w:left w:val="nil"/>
              <w:bottom w:val="single" w:sz="4" w:space="0" w:color="auto"/>
              <w:right w:val="single" w:sz="4" w:space="0" w:color="auto"/>
            </w:tcBorders>
            <w:shd w:val="clear" w:color="000000" w:fill="FFFFFF"/>
            <w:noWrap/>
            <w:vAlign w:val="bottom"/>
            <w:hideMark/>
          </w:tcPr>
          <w:p w14:paraId="4CA93C2F"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w:t>
            </w:r>
          </w:p>
        </w:tc>
        <w:tc>
          <w:tcPr>
            <w:tcW w:w="1576" w:type="dxa"/>
            <w:tcBorders>
              <w:top w:val="nil"/>
              <w:left w:val="nil"/>
              <w:bottom w:val="single" w:sz="4" w:space="0" w:color="auto"/>
              <w:right w:val="single" w:sz="4" w:space="0" w:color="auto"/>
            </w:tcBorders>
            <w:shd w:val="clear" w:color="000000" w:fill="FFFFFF"/>
            <w:noWrap/>
            <w:vAlign w:val="bottom"/>
            <w:hideMark/>
          </w:tcPr>
          <w:p w14:paraId="1376B5B6"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€ 435,000,000</w:t>
            </w:r>
          </w:p>
        </w:tc>
        <w:tc>
          <w:tcPr>
            <w:tcW w:w="1591" w:type="dxa"/>
            <w:tcBorders>
              <w:top w:val="nil"/>
              <w:left w:val="nil"/>
              <w:bottom w:val="single" w:sz="4" w:space="0" w:color="auto"/>
              <w:right w:val="single" w:sz="4" w:space="0" w:color="auto"/>
            </w:tcBorders>
            <w:shd w:val="clear" w:color="000000" w:fill="FFFFFF"/>
            <w:noWrap/>
            <w:vAlign w:val="bottom"/>
            <w:hideMark/>
          </w:tcPr>
          <w:p w14:paraId="4C25CA67" w14:textId="77777777" w:rsidR="00215968" w:rsidRPr="00215968" w:rsidRDefault="00215968" w:rsidP="00215968">
            <w:pPr>
              <w:spacing w:after="0" w:line="240" w:lineRule="auto"/>
              <w:jc w:val="center"/>
              <w:rPr>
                <w:rFonts w:ascii="Calibri" w:eastAsia="Times New Roman" w:hAnsi="Calibri" w:cs="Calibri"/>
                <w:color w:val="000000"/>
                <w:kern w:val="0"/>
                <w:lang w:eastAsia="en-GB"/>
                <w14:ligatures w14:val="none"/>
              </w:rPr>
            </w:pPr>
            <w:r w:rsidRPr="00215968">
              <w:rPr>
                <w:rFonts w:ascii="Calibri" w:eastAsia="Times New Roman" w:hAnsi="Calibri" w:cs="Calibri"/>
                <w:color w:val="000000"/>
                <w:kern w:val="0"/>
                <w:lang w:eastAsia="en-GB"/>
                <w14:ligatures w14:val="none"/>
              </w:rPr>
              <w:t>€ 521,698,123</w:t>
            </w:r>
          </w:p>
        </w:tc>
      </w:tr>
      <w:tr w:rsidR="00215968" w:rsidRPr="00215968" w14:paraId="3A99FD4A" w14:textId="77777777" w:rsidTr="00215968">
        <w:trPr>
          <w:trHeight w:val="50"/>
        </w:trPr>
        <w:tc>
          <w:tcPr>
            <w:tcW w:w="694" w:type="dxa"/>
            <w:tcBorders>
              <w:top w:val="nil"/>
              <w:left w:val="single" w:sz="4" w:space="0" w:color="auto"/>
              <w:bottom w:val="single" w:sz="4" w:space="0" w:color="auto"/>
              <w:right w:val="single" w:sz="4" w:space="0" w:color="auto"/>
            </w:tcBorders>
            <w:shd w:val="clear" w:color="000000" w:fill="F2F2F2"/>
            <w:noWrap/>
            <w:vAlign w:val="bottom"/>
            <w:hideMark/>
          </w:tcPr>
          <w:p w14:paraId="0DA78D27" w14:textId="77777777" w:rsidR="00215968" w:rsidRPr="00215968" w:rsidRDefault="00215968" w:rsidP="00215968">
            <w:pPr>
              <w:spacing w:after="0" w:line="240" w:lineRule="auto"/>
              <w:jc w:val="center"/>
              <w:rPr>
                <w:rFonts w:ascii="Arial" w:eastAsia="Times New Roman" w:hAnsi="Arial" w:cs="Arial"/>
                <w:b/>
                <w:bCs/>
                <w:kern w:val="0"/>
                <w:sz w:val="20"/>
                <w:szCs w:val="20"/>
                <w:lang w:eastAsia="en-GB"/>
                <w14:ligatures w14:val="none"/>
              </w:rPr>
            </w:pPr>
            <w:r w:rsidRPr="00215968">
              <w:rPr>
                <w:rFonts w:ascii="Arial" w:eastAsia="Times New Roman" w:hAnsi="Arial" w:cs="Arial"/>
                <w:b/>
                <w:bCs/>
                <w:kern w:val="0"/>
                <w:sz w:val="20"/>
                <w:szCs w:val="20"/>
                <w:lang w:eastAsia="en-GB"/>
                <w14:ligatures w14:val="none"/>
              </w:rPr>
              <w:t>Total</w:t>
            </w:r>
          </w:p>
        </w:tc>
        <w:tc>
          <w:tcPr>
            <w:tcW w:w="957" w:type="dxa"/>
            <w:tcBorders>
              <w:top w:val="nil"/>
              <w:left w:val="nil"/>
              <w:bottom w:val="single" w:sz="4" w:space="0" w:color="auto"/>
              <w:right w:val="single" w:sz="4" w:space="0" w:color="auto"/>
            </w:tcBorders>
            <w:shd w:val="clear" w:color="000000" w:fill="F2F2F2"/>
            <w:noWrap/>
            <w:vAlign w:val="bottom"/>
            <w:hideMark/>
          </w:tcPr>
          <w:p w14:paraId="6FDEBB5A"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0 €</w:t>
            </w:r>
          </w:p>
        </w:tc>
        <w:tc>
          <w:tcPr>
            <w:tcW w:w="1075" w:type="dxa"/>
            <w:tcBorders>
              <w:top w:val="nil"/>
              <w:left w:val="nil"/>
              <w:bottom w:val="single" w:sz="4" w:space="0" w:color="auto"/>
              <w:right w:val="single" w:sz="4" w:space="0" w:color="auto"/>
            </w:tcBorders>
            <w:shd w:val="clear" w:color="000000" w:fill="F2F2F2"/>
            <w:noWrap/>
            <w:vAlign w:val="bottom"/>
            <w:hideMark/>
          </w:tcPr>
          <w:p w14:paraId="4EC64FA6"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0 €</w:t>
            </w:r>
          </w:p>
        </w:tc>
        <w:tc>
          <w:tcPr>
            <w:tcW w:w="1384" w:type="dxa"/>
            <w:tcBorders>
              <w:top w:val="nil"/>
              <w:left w:val="nil"/>
              <w:bottom w:val="single" w:sz="4" w:space="0" w:color="auto"/>
              <w:right w:val="single" w:sz="4" w:space="0" w:color="auto"/>
            </w:tcBorders>
            <w:shd w:val="clear" w:color="000000" w:fill="F2F2F2"/>
            <w:noWrap/>
            <w:vAlign w:val="bottom"/>
            <w:hideMark/>
          </w:tcPr>
          <w:p w14:paraId="28EA7922"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0 €</w:t>
            </w:r>
          </w:p>
        </w:tc>
        <w:tc>
          <w:tcPr>
            <w:tcW w:w="1502" w:type="dxa"/>
            <w:tcBorders>
              <w:top w:val="nil"/>
              <w:left w:val="nil"/>
              <w:bottom w:val="single" w:sz="4" w:space="0" w:color="auto"/>
              <w:right w:val="single" w:sz="4" w:space="0" w:color="auto"/>
            </w:tcBorders>
            <w:shd w:val="clear" w:color="000000" w:fill="F2F2F2"/>
            <w:noWrap/>
            <w:vAlign w:val="bottom"/>
            <w:hideMark/>
          </w:tcPr>
          <w:p w14:paraId="4635E16C"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€ 1,909,366,256</w:t>
            </w:r>
          </w:p>
        </w:tc>
        <w:tc>
          <w:tcPr>
            <w:tcW w:w="1502" w:type="dxa"/>
            <w:tcBorders>
              <w:top w:val="nil"/>
              <w:left w:val="nil"/>
              <w:bottom w:val="single" w:sz="4" w:space="0" w:color="auto"/>
              <w:right w:val="single" w:sz="4" w:space="0" w:color="auto"/>
            </w:tcBorders>
            <w:shd w:val="clear" w:color="000000" w:fill="F2F2F2"/>
            <w:noWrap/>
            <w:vAlign w:val="bottom"/>
            <w:hideMark/>
          </w:tcPr>
          <w:p w14:paraId="1C15BE6F"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€ 3,262,500,000</w:t>
            </w:r>
          </w:p>
        </w:tc>
        <w:tc>
          <w:tcPr>
            <w:tcW w:w="1576" w:type="dxa"/>
            <w:tcBorders>
              <w:top w:val="nil"/>
              <w:left w:val="nil"/>
              <w:bottom w:val="single" w:sz="4" w:space="0" w:color="auto"/>
              <w:right w:val="single" w:sz="4" w:space="0" w:color="auto"/>
            </w:tcBorders>
            <w:shd w:val="clear" w:color="000000" w:fill="F2F2F2"/>
            <w:noWrap/>
            <w:vAlign w:val="bottom"/>
            <w:hideMark/>
          </w:tcPr>
          <w:p w14:paraId="093765C5"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€ 430,693,069</w:t>
            </w:r>
          </w:p>
        </w:tc>
        <w:tc>
          <w:tcPr>
            <w:tcW w:w="1591" w:type="dxa"/>
            <w:tcBorders>
              <w:top w:val="nil"/>
              <w:left w:val="nil"/>
              <w:bottom w:val="single" w:sz="4" w:space="0" w:color="auto"/>
              <w:right w:val="single" w:sz="4" w:space="0" w:color="auto"/>
            </w:tcBorders>
            <w:shd w:val="clear" w:color="000000" w:fill="F2F2F2"/>
            <w:noWrap/>
            <w:vAlign w:val="bottom"/>
            <w:hideMark/>
          </w:tcPr>
          <w:p w14:paraId="2D47E7F2" w14:textId="77777777" w:rsidR="00215968" w:rsidRPr="00215968" w:rsidRDefault="00215968" w:rsidP="00215968">
            <w:pPr>
              <w:spacing w:after="0" w:line="240" w:lineRule="auto"/>
              <w:jc w:val="center"/>
              <w:rPr>
                <w:rFonts w:ascii="Calibri" w:eastAsia="Times New Roman" w:hAnsi="Calibri" w:cs="Calibri"/>
                <w:b/>
                <w:bCs/>
                <w:color w:val="000000"/>
                <w:kern w:val="0"/>
                <w:lang w:eastAsia="en-GB"/>
                <w14:ligatures w14:val="none"/>
              </w:rPr>
            </w:pPr>
            <w:r w:rsidRPr="00215968">
              <w:rPr>
                <w:rFonts w:ascii="Calibri" w:eastAsia="Times New Roman" w:hAnsi="Calibri" w:cs="Calibri"/>
                <w:b/>
                <w:bCs/>
                <w:color w:val="000000"/>
                <w:kern w:val="0"/>
                <w:lang w:eastAsia="en-GB"/>
                <w14:ligatures w14:val="none"/>
              </w:rPr>
              <w:t>-€ 1,013,934,471</w:t>
            </w:r>
          </w:p>
        </w:tc>
      </w:tr>
    </w:tbl>
    <w:p w14:paraId="339AB829" w14:textId="77777777" w:rsidR="00215968" w:rsidRDefault="00215968" w:rsidP="00215864">
      <w:pPr>
        <w:rPr>
          <w:lang w:val="it-IT"/>
        </w:rPr>
      </w:pPr>
    </w:p>
    <w:p w14:paraId="7EA870A4" w14:textId="6760A688" w:rsidR="00BC2EDC" w:rsidRDefault="00BC2EDC" w:rsidP="00BC2EDC">
      <w:pPr>
        <w:pStyle w:val="Caption"/>
        <w:keepNext/>
      </w:pPr>
      <w:r>
        <w:lastRenderedPageBreak/>
        <w:t xml:space="preserve">Table </w:t>
      </w:r>
      <w:r>
        <w:fldChar w:fldCharType="begin"/>
      </w:r>
      <w:r>
        <w:instrText xml:space="preserve"> SEQ Table \* ARABIC </w:instrText>
      </w:r>
      <w:r>
        <w:fldChar w:fldCharType="separate"/>
      </w:r>
      <w:r w:rsidR="00843A57">
        <w:rPr>
          <w:noProof/>
        </w:rPr>
        <w:t>10</w:t>
      </w:r>
      <w:r>
        <w:fldChar w:fldCharType="end"/>
      </w:r>
      <w:r>
        <w:t>: Illustration of input and results from SCBA for Scenario 1</w:t>
      </w:r>
    </w:p>
    <w:p w14:paraId="4C8308A1" w14:textId="66F934F2" w:rsidR="00F279FE" w:rsidRDefault="00BC2EDC" w:rsidP="00215864">
      <w:pPr>
        <w:rPr>
          <w:lang w:val="it-IT"/>
        </w:rPr>
      </w:pPr>
      <w:r w:rsidRPr="00BC2EDC">
        <w:rPr>
          <w:lang w:val="it-IT"/>
        </w:rPr>
        <w:drawing>
          <wp:inline distT="0" distB="0" distL="0" distR="0" wp14:anchorId="01711A8F" wp14:editId="099C877D">
            <wp:extent cx="5731510" cy="3204210"/>
            <wp:effectExtent l="0" t="0" r="2540" b="0"/>
            <wp:docPr id="229442653"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442653" name="Picture 1" descr="A screenshot of a graph&#10;&#10;Description automatically generated"/>
                    <pic:cNvPicPr/>
                  </pic:nvPicPr>
                  <pic:blipFill>
                    <a:blip r:embed="rId14"/>
                    <a:stretch>
                      <a:fillRect/>
                    </a:stretch>
                  </pic:blipFill>
                  <pic:spPr>
                    <a:xfrm>
                      <a:off x="0" y="0"/>
                      <a:ext cx="5731510" cy="3204210"/>
                    </a:xfrm>
                    <a:prstGeom prst="rect">
                      <a:avLst/>
                    </a:prstGeom>
                  </pic:spPr>
                </pic:pic>
              </a:graphicData>
            </a:graphic>
          </wp:inline>
        </w:drawing>
      </w:r>
    </w:p>
    <w:p w14:paraId="2A329823" w14:textId="77777777" w:rsidR="00586406" w:rsidRDefault="00586406" w:rsidP="00215864">
      <w:pPr>
        <w:rPr>
          <w:lang w:val="it-IT"/>
        </w:rPr>
      </w:pPr>
    </w:p>
    <w:p w14:paraId="560C9A14" w14:textId="77777777" w:rsidR="005607E2" w:rsidRDefault="005607E2" w:rsidP="00215864">
      <w:pPr>
        <w:rPr>
          <w:lang w:val="it-IT"/>
        </w:rPr>
      </w:pPr>
    </w:p>
    <w:p w14:paraId="11992EB4" w14:textId="77777777" w:rsidR="005607E2" w:rsidRDefault="005607E2" w:rsidP="00215864">
      <w:pPr>
        <w:rPr>
          <w:lang w:val="it-IT"/>
        </w:rPr>
      </w:pPr>
    </w:p>
    <w:p w14:paraId="162132E9" w14:textId="77777777" w:rsidR="005607E2" w:rsidRDefault="005607E2" w:rsidP="00215864">
      <w:pPr>
        <w:rPr>
          <w:lang w:val="it-IT"/>
        </w:rPr>
      </w:pPr>
    </w:p>
    <w:p w14:paraId="3D9555E2" w14:textId="77777777" w:rsidR="005607E2" w:rsidRDefault="005607E2" w:rsidP="00215864">
      <w:pPr>
        <w:rPr>
          <w:lang w:val="it-IT"/>
        </w:rPr>
      </w:pPr>
    </w:p>
    <w:p w14:paraId="6C464A66" w14:textId="77777777" w:rsidR="005607E2" w:rsidRDefault="005607E2" w:rsidP="00215864">
      <w:pPr>
        <w:rPr>
          <w:lang w:val="it-IT"/>
        </w:rPr>
      </w:pPr>
    </w:p>
    <w:p w14:paraId="4076493B" w14:textId="77777777" w:rsidR="005607E2" w:rsidRDefault="005607E2" w:rsidP="00215864">
      <w:pPr>
        <w:rPr>
          <w:lang w:val="it-IT"/>
        </w:rPr>
      </w:pPr>
    </w:p>
    <w:p w14:paraId="10C3DB76" w14:textId="77777777" w:rsidR="005607E2" w:rsidRDefault="005607E2" w:rsidP="00215864">
      <w:pPr>
        <w:rPr>
          <w:lang w:val="it-IT"/>
        </w:rPr>
      </w:pPr>
    </w:p>
    <w:p w14:paraId="1EA43476" w14:textId="77777777" w:rsidR="005607E2" w:rsidRDefault="005607E2" w:rsidP="00215864">
      <w:pPr>
        <w:rPr>
          <w:lang w:val="it-IT"/>
        </w:rPr>
      </w:pPr>
    </w:p>
    <w:p w14:paraId="11BA9933" w14:textId="77777777" w:rsidR="005607E2" w:rsidRDefault="005607E2" w:rsidP="00215864">
      <w:pPr>
        <w:rPr>
          <w:lang w:val="it-IT"/>
        </w:rPr>
      </w:pPr>
    </w:p>
    <w:p w14:paraId="4A9C40AF" w14:textId="77777777" w:rsidR="005607E2" w:rsidRDefault="005607E2" w:rsidP="00215864">
      <w:pPr>
        <w:rPr>
          <w:lang w:val="it-IT"/>
        </w:rPr>
      </w:pPr>
    </w:p>
    <w:p w14:paraId="74FABC15" w14:textId="77777777" w:rsidR="005607E2" w:rsidRDefault="005607E2" w:rsidP="00215864">
      <w:pPr>
        <w:rPr>
          <w:lang w:val="it-IT"/>
        </w:rPr>
      </w:pPr>
    </w:p>
    <w:p w14:paraId="0DB37B68" w14:textId="77777777" w:rsidR="005607E2" w:rsidRDefault="005607E2" w:rsidP="00215864">
      <w:pPr>
        <w:rPr>
          <w:lang w:val="it-IT"/>
        </w:rPr>
      </w:pPr>
    </w:p>
    <w:p w14:paraId="2DDA0593" w14:textId="77777777" w:rsidR="005607E2" w:rsidRDefault="005607E2" w:rsidP="00215864">
      <w:pPr>
        <w:rPr>
          <w:lang w:val="it-IT"/>
        </w:rPr>
      </w:pPr>
    </w:p>
    <w:p w14:paraId="543AAF60" w14:textId="77777777" w:rsidR="005607E2" w:rsidRDefault="005607E2" w:rsidP="00215864">
      <w:pPr>
        <w:rPr>
          <w:lang w:val="it-IT"/>
        </w:rPr>
      </w:pPr>
    </w:p>
    <w:p w14:paraId="08C4E86B" w14:textId="77777777" w:rsidR="005607E2" w:rsidRDefault="005607E2" w:rsidP="00215864">
      <w:pPr>
        <w:rPr>
          <w:lang w:val="it-IT"/>
        </w:rPr>
      </w:pPr>
    </w:p>
    <w:p w14:paraId="1331F20D" w14:textId="77777777" w:rsidR="005607E2" w:rsidRDefault="005607E2" w:rsidP="00215864">
      <w:pPr>
        <w:rPr>
          <w:lang w:val="it-IT"/>
        </w:rPr>
      </w:pPr>
    </w:p>
    <w:p w14:paraId="0BDE6D5E" w14:textId="77F097F4" w:rsidR="00843A57" w:rsidRDefault="00843A57" w:rsidP="00843A57">
      <w:pPr>
        <w:pStyle w:val="Caption"/>
        <w:keepNext/>
      </w:pPr>
      <w:r>
        <w:lastRenderedPageBreak/>
        <w:t xml:space="preserve">Table </w:t>
      </w:r>
      <w:r>
        <w:fldChar w:fldCharType="begin"/>
      </w:r>
      <w:r>
        <w:instrText xml:space="preserve"> SEQ Table \* ARABIC </w:instrText>
      </w:r>
      <w:r>
        <w:fldChar w:fldCharType="separate"/>
      </w:r>
      <w:r>
        <w:rPr>
          <w:noProof/>
        </w:rPr>
        <w:t>11</w:t>
      </w:r>
      <w:r>
        <w:fldChar w:fldCharType="end"/>
      </w:r>
      <w:r>
        <w:t>: Illustration of results per year resulting from SCBA for Scenario 1</w:t>
      </w:r>
    </w:p>
    <w:tbl>
      <w:tblPr>
        <w:tblW w:w="9016" w:type="dxa"/>
        <w:tblLook w:val="04A0" w:firstRow="1" w:lastRow="0" w:firstColumn="1" w:lastColumn="0" w:noHBand="0" w:noVBand="1"/>
      </w:tblPr>
      <w:tblGrid>
        <w:gridCol w:w="578"/>
        <w:gridCol w:w="568"/>
        <w:gridCol w:w="728"/>
        <w:gridCol w:w="527"/>
        <w:gridCol w:w="1186"/>
        <w:gridCol w:w="812"/>
        <w:gridCol w:w="1186"/>
        <w:gridCol w:w="1186"/>
        <w:gridCol w:w="1059"/>
        <w:gridCol w:w="1186"/>
      </w:tblGrid>
      <w:tr w:rsidR="00CD00A0" w:rsidRPr="00CD00A0" w14:paraId="4059FCE6" w14:textId="77777777" w:rsidTr="00843A57">
        <w:trPr>
          <w:trHeight w:val="393"/>
        </w:trPr>
        <w:tc>
          <w:tcPr>
            <w:tcW w:w="578"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763C0C72"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Year</w:t>
            </w:r>
          </w:p>
        </w:tc>
        <w:tc>
          <w:tcPr>
            <w:tcW w:w="568" w:type="dxa"/>
            <w:tcBorders>
              <w:top w:val="single" w:sz="4" w:space="0" w:color="auto"/>
              <w:left w:val="nil"/>
              <w:bottom w:val="single" w:sz="4" w:space="0" w:color="auto"/>
              <w:right w:val="single" w:sz="4" w:space="0" w:color="auto"/>
            </w:tcBorders>
            <w:shd w:val="clear" w:color="000000" w:fill="C0C0C0"/>
            <w:noWrap/>
            <w:vAlign w:val="bottom"/>
            <w:hideMark/>
          </w:tcPr>
          <w:p w14:paraId="78B6597D"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O&amp;M Cost</w:t>
            </w:r>
          </w:p>
        </w:tc>
        <w:tc>
          <w:tcPr>
            <w:tcW w:w="728" w:type="dxa"/>
            <w:tcBorders>
              <w:top w:val="single" w:sz="4" w:space="0" w:color="auto"/>
              <w:left w:val="nil"/>
              <w:bottom w:val="single" w:sz="4" w:space="0" w:color="auto"/>
              <w:right w:val="single" w:sz="4" w:space="0" w:color="auto"/>
            </w:tcBorders>
            <w:shd w:val="clear" w:color="000000" w:fill="C0C0C0"/>
            <w:noWrap/>
            <w:vAlign w:val="bottom"/>
            <w:hideMark/>
          </w:tcPr>
          <w:p w14:paraId="0693F5CB"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O&amp;M Benefit</w:t>
            </w:r>
          </w:p>
        </w:tc>
        <w:tc>
          <w:tcPr>
            <w:tcW w:w="527" w:type="dxa"/>
            <w:tcBorders>
              <w:top w:val="single" w:sz="4" w:space="0" w:color="auto"/>
              <w:left w:val="nil"/>
              <w:bottom w:val="single" w:sz="4" w:space="0" w:color="auto"/>
              <w:right w:val="single" w:sz="4" w:space="0" w:color="auto"/>
            </w:tcBorders>
            <w:shd w:val="clear" w:color="000000" w:fill="C0C0C0"/>
            <w:noWrap/>
            <w:vAlign w:val="bottom"/>
            <w:hideMark/>
          </w:tcPr>
          <w:p w14:paraId="75491714"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Fuel cost</w:t>
            </w:r>
          </w:p>
        </w:tc>
        <w:tc>
          <w:tcPr>
            <w:tcW w:w="1186" w:type="dxa"/>
            <w:tcBorders>
              <w:top w:val="single" w:sz="4" w:space="0" w:color="auto"/>
              <w:left w:val="nil"/>
              <w:bottom w:val="single" w:sz="4" w:space="0" w:color="auto"/>
              <w:right w:val="single" w:sz="4" w:space="0" w:color="auto"/>
            </w:tcBorders>
            <w:shd w:val="clear" w:color="000000" w:fill="C0C0C0"/>
            <w:noWrap/>
            <w:vAlign w:val="bottom"/>
            <w:hideMark/>
          </w:tcPr>
          <w:p w14:paraId="10074C29"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Fuel benefit</w:t>
            </w:r>
          </w:p>
        </w:tc>
        <w:tc>
          <w:tcPr>
            <w:tcW w:w="812" w:type="dxa"/>
            <w:tcBorders>
              <w:top w:val="single" w:sz="4" w:space="0" w:color="auto"/>
              <w:left w:val="nil"/>
              <w:bottom w:val="single" w:sz="4" w:space="0" w:color="auto"/>
              <w:right w:val="single" w:sz="4" w:space="0" w:color="auto"/>
            </w:tcBorders>
            <w:shd w:val="clear" w:color="000000" w:fill="C0C0C0"/>
            <w:noWrap/>
            <w:vAlign w:val="bottom"/>
            <w:hideMark/>
          </w:tcPr>
          <w:p w14:paraId="030177F9"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External cost</w:t>
            </w:r>
          </w:p>
        </w:tc>
        <w:tc>
          <w:tcPr>
            <w:tcW w:w="1186" w:type="dxa"/>
            <w:tcBorders>
              <w:top w:val="single" w:sz="4" w:space="0" w:color="auto"/>
              <w:left w:val="nil"/>
              <w:bottom w:val="single" w:sz="4" w:space="0" w:color="auto"/>
              <w:right w:val="single" w:sz="4" w:space="0" w:color="auto"/>
            </w:tcBorders>
            <w:shd w:val="clear" w:color="000000" w:fill="C0C0C0"/>
            <w:noWrap/>
            <w:vAlign w:val="bottom"/>
            <w:hideMark/>
          </w:tcPr>
          <w:p w14:paraId="6A642BF9"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External benefit</w:t>
            </w:r>
          </w:p>
        </w:tc>
        <w:tc>
          <w:tcPr>
            <w:tcW w:w="1186" w:type="dxa"/>
            <w:tcBorders>
              <w:top w:val="single" w:sz="4" w:space="0" w:color="auto"/>
              <w:left w:val="nil"/>
              <w:bottom w:val="single" w:sz="4" w:space="0" w:color="auto"/>
              <w:right w:val="single" w:sz="4" w:space="0" w:color="auto"/>
            </w:tcBorders>
            <w:shd w:val="clear" w:color="000000" w:fill="C0C0C0"/>
            <w:noWrap/>
            <w:vAlign w:val="bottom"/>
            <w:hideMark/>
          </w:tcPr>
          <w:p w14:paraId="1FF7E938"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Investment cost</w:t>
            </w:r>
          </w:p>
        </w:tc>
        <w:tc>
          <w:tcPr>
            <w:tcW w:w="1059" w:type="dxa"/>
            <w:tcBorders>
              <w:top w:val="single" w:sz="4" w:space="0" w:color="auto"/>
              <w:left w:val="nil"/>
              <w:bottom w:val="single" w:sz="4" w:space="0" w:color="auto"/>
              <w:right w:val="single" w:sz="4" w:space="0" w:color="auto"/>
            </w:tcBorders>
            <w:shd w:val="clear" w:color="000000" w:fill="C0C0C0"/>
            <w:noWrap/>
            <w:vAlign w:val="bottom"/>
            <w:hideMark/>
          </w:tcPr>
          <w:p w14:paraId="04BADA32"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Remaining value</w:t>
            </w:r>
          </w:p>
        </w:tc>
        <w:tc>
          <w:tcPr>
            <w:tcW w:w="1186" w:type="dxa"/>
            <w:tcBorders>
              <w:top w:val="single" w:sz="4" w:space="0" w:color="auto"/>
              <w:left w:val="nil"/>
              <w:bottom w:val="single" w:sz="4" w:space="0" w:color="auto"/>
              <w:right w:val="single" w:sz="4" w:space="0" w:color="auto"/>
            </w:tcBorders>
            <w:shd w:val="clear" w:color="000000" w:fill="C0C0C0"/>
            <w:noWrap/>
            <w:vAlign w:val="bottom"/>
            <w:hideMark/>
          </w:tcPr>
          <w:p w14:paraId="0F516345"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Net cash flow</w:t>
            </w:r>
          </w:p>
        </w:tc>
      </w:tr>
      <w:tr w:rsidR="005607E2" w:rsidRPr="00CD00A0" w14:paraId="679DD59D" w14:textId="77777777" w:rsidTr="00843A57">
        <w:trPr>
          <w:trHeight w:val="472"/>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5747CB2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0</w:t>
            </w:r>
          </w:p>
        </w:tc>
        <w:tc>
          <w:tcPr>
            <w:tcW w:w="568" w:type="dxa"/>
            <w:tcBorders>
              <w:top w:val="nil"/>
              <w:left w:val="nil"/>
              <w:bottom w:val="single" w:sz="4" w:space="0" w:color="auto"/>
              <w:right w:val="single" w:sz="4" w:space="0" w:color="auto"/>
            </w:tcBorders>
            <w:shd w:val="clear" w:color="000000" w:fill="FFFFFF"/>
            <w:noWrap/>
            <w:vAlign w:val="bottom"/>
            <w:hideMark/>
          </w:tcPr>
          <w:p w14:paraId="784ABCC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728" w:type="dxa"/>
            <w:tcBorders>
              <w:top w:val="nil"/>
              <w:left w:val="nil"/>
              <w:bottom w:val="single" w:sz="4" w:space="0" w:color="auto"/>
              <w:right w:val="single" w:sz="4" w:space="0" w:color="auto"/>
            </w:tcBorders>
            <w:shd w:val="clear" w:color="000000" w:fill="FFFFFF"/>
            <w:noWrap/>
            <w:vAlign w:val="bottom"/>
            <w:hideMark/>
          </w:tcPr>
          <w:p w14:paraId="66396EB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527" w:type="dxa"/>
            <w:tcBorders>
              <w:top w:val="nil"/>
              <w:left w:val="nil"/>
              <w:bottom w:val="single" w:sz="4" w:space="0" w:color="auto"/>
              <w:right w:val="single" w:sz="4" w:space="0" w:color="auto"/>
            </w:tcBorders>
            <w:shd w:val="clear" w:color="000000" w:fill="FFFFFF"/>
            <w:noWrap/>
            <w:vAlign w:val="bottom"/>
            <w:hideMark/>
          </w:tcPr>
          <w:p w14:paraId="445A557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588D023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812" w:type="dxa"/>
            <w:tcBorders>
              <w:top w:val="nil"/>
              <w:left w:val="nil"/>
              <w:bottom w:val="single" w:sz="4" w:space="0" w:color="auto"/>
              <w:right w:val="single" w:sz="4" w:space="0" w:color="auto"/>
            </w:tcBorders>
            <w:shd w:val="clear" w:color="000000" w:fill="FFFFFF"/>
            <w:noWrap/>
            <w:vAlign w:val="bottom"/>
            <w:hideMark/>
          </w:tcPr>
          <w:p w14:paraId="349B690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4918F1F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€ 2,752,321,357</w:t>
            </w:r>
          </w:p>
        </w:tc>
        <w:tc>
          <w:tcPr>
            <w:tcW w:w="1186" w:type="dxa"/>
            <w:tcBorders>
              <w:top w:val="nil"/>
              <w:left w:val="nil"/>
              <w:bottom w:val="single" w:sz="4" w:space="0" w:color="auto"/>
              <w:right w:val="single" w:sz="4" w:space="0" w:color="auto"/>
            </w:tcBorders>
            <w:shd w:val="clear" w:color="000000" w:fill="FFF2CC"/>
            <w:noWrap/>
            <w:vAlign w:val="bottom"/>
            <w:hideMark/>
          </w:tcPr>
          <w:p w14:paraId="5D080C1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€ 2,741,596,639</w:t>
            </w:r>
          </w:p>
        </w:tc>
        <w:tc>
          <w:tcPr>
            <w:tcW w:w="1059" w:type="dxa"/>
            <w:tcBorders>
              <w:top w:val="nil"/>
              <w:left w:val="nil"/>
              <w:bottom w:val="single" w:sz="4" w:space="0" w:color="auto"/>
              <w:right w:val="single" w:sz="4" w:space="0" w:color="auto"/>
            </w:tcBorders>
            <w:shd w:val="clear" w:color="000000" w:fill="FFFFFF"/>
            <w:noWrap/>
            <w:vAlign w:val="bottom"/>
            <w:hideMark/>
          </w:tcPr>
          <w:p w14:paraId="18C59DE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7046CFC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€ 10,724,718</w:t>
            </w:r>
          </w:p>
        </w:tc>
      </w:tr>
      <w:tr w:rsidR="005607E2" w:rsidRPr="00CD00A0" w14:paraId="72A261F8"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2D18DD7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w:t>
            </w:r>
          </w:p>
        </w:tc>
        <w:tc>
          <w:tcPr>
            <w:tcW w:w="568" w:type="dxa"/>
            <w:tcBorders>
              <w:top w:val="nil"/>
              <w:left w:val="nil"/>
              <w:bottom w:val="single" w:sz="4" w:space="0" w:color="auto"/>
              <w:right w:val="single" w:sz="4" w:space="0" w:color="auto"/>
            </w:tcBorders>
            <w:shd w:val="clear" w:color="000000" w:fill="FFFFFF"/>
            <w:noWrap/>
            <w:vAlign w:val="bottom"/>
            <w:hideMark/>
          </w:tcPr>
          <w:p w14:paraId="2DF4507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10BF5D8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18734F9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AC14E5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04E81EF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57F82FF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6754C87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3A9C07E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0EE7EE0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75721892"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5A955D7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w:t>
            </w:r>
          </w:p>
        </w:tc>
        <w:tc>
          <w:tcPr>
            <w:tcW w:w="568" w:type="dxa"/>
            <w:tcBorders>
              <w:top w:val="nil"/>
              <w:left w:val="nil"/>
              <w:bottom w:val="single" w:sz="4" w:space="0" w:color="auto"/>
              <w:right w:val="single" w:sz="4" w:space="0" w:color="auto"/>
            </w:tcBorders>
            <w:shd w:val="clear" w:color="000000" w:fill="FFFFFF"/>
            <w:noWrap/>
            <w:vAlign w:val="bottom"/>
            <w:hideMark/>
          </w:tcPr>
          <w:p w14:paraId="2F30113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621193D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5762958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7C0F026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66DC299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7358A8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4C0F7D9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0951AD9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1D7D92B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4DF0F3A8"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35258BA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3</w:t>
            </w:r>
          </w:p>
        </w:tc>
        <w:tc>
          <w:tcPr>
            <w:tcW w:w="568" w:type="dxa"/>
            <w:tcBorders>
              <w:top w:val="nil"/>
              <w:left w:val="nil"/>
              <w:bottom w:val="single" w:sz="4" w:space="0" w:color="auto"/>
              <w:right w:val="single" w:sz="4" w:space="0" w:color="auto"/>
            </w:tcBorders>
            <w:shd w:val="clear" w:color="000000" w:fill="FFFFFF"/>
            <w:noWrap/>
            <w:vAlign w:val="bottom"/>
            <w:hideMark/>
          </w:tcPr>
          <w:p w14:paraId="7C6C68C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65FB861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7D53C90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25476A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4D59900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7FF6694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2B32A13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50607B2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2061406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6DC07E7C"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2FC0430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4</w:t>
            </w:r>
          </w:p>
        </w:tc>
        <w:tc>
          <w:tcPr>
            <w:tcW w:w="568" w:type="dxa"/>
            <w:tcBorders>
              <w:top w:val="nil"/>
              <w:left w:val="nil"/>
              <w:bottom w:val="single" w:sz="4" w:space="0" w:color="auto"/>
              <w:right w:val="single" w:sz="4" w:space="0" w:color="auto"/>
            </w:tcBorders>
            <w:shd w:val="clear" w:color="000000" w:fill="FFFFFF"/>
            <w:noWrap/>
            <w:vAlign w:val="bottom"/>
            <w:hideMark/>
          </w:tcPr>
          <w:p w14:paraId="7DD7686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4BCE59D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46588B8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DEE9E4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5639EB0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6F9FCA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3F5D6FD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7E98BCF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4496F1A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76507CA3"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0CC1427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5</w:t>
            </w:r>
          </w:p>
        </w:tc>
        <w:tc>
          <w:tcPr>
            <w:tcW w:w="568" w:type="dxa"/>
            <w:tcBorders>
              <w:top w:val="nil"/>
              <w:left w:val="nil"/>
              <w:bottom w:val="single" w:sz="4" w:space="0" w:color="auto"/>
              <w:right w:val="single" w:sz="4" w:space="0" w:color="auto"/>
            </w:tcBorders>
            <w:shd w:val="clear" w:color="000000" w:fill="FFFFFF"/>
            <w:noWrap/>
            <w:vAlign w:val="bottom"/>
            <w:hideMark/>
          </w:tcPr>
          <w:p w14:paraId="6D1F02B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59B8885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175250E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BF5D68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3134C10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FDD1EC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70F282D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22928E6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6B6E020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0491E1BF"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08CA7F1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6</w:t>
            </w:r>
          </w:p>
        </w:tc>
        <w:tc>
          <w:tcPr>
            <w:tcW w:w="568" w:type="dxa"/>
            <w:tcBorders>
              <w:top w:val="nil"/>
              <w:left w:val="nil"/>
              <w:bottom w:val="single" w:sz="4" w:space="0" w:color="auto"/>
              <w:right w:val="single" w:sz="4" w:space="0" w:color="auto"/>
            </w:tcBorders>
            <w:shd w:val="clear" w:color="000000" w:fill="FFFFFF"/>
            <w:noWrap/>
            <w:vAlign w:val="bottom"/>
            <w:hideMark/>
          </w:tcPr>
          <w:p w14:paraId="5B7B45C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2331307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311C6BF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A67BC4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68AFA55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3566225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2A403E7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7DAA4E4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0989BFD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2F52AB7C"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6B8DFDC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7</w:t>
            </w:r>
          </w:p>
        </w:tc>
        <w:tc>
          <w:tcPr>
            <w:tcW w:w="568" w:type="dxa"/>
            <w:tcBorders>
              <w:top w:val="nil"/>
              <w:left w:val="nil"/>
              <w:bottom w:val="single" w:sz="4" w:space="0" w:color="auto"/>
              <w:right w:val="single" w:sz="4" w:space="0" w:color="auto"/>
            </w:tcBorders>
            <w:shd w:val="clear" w:color="000000" w:fill="FFFFFF"/>
            <w:noWrap/>
            <w:vAlign w:val="bottom"/>
            <w:hideMark/>
          </w:tcPr>
          <w:p w14:paraId="414EA22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00AE7AD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40AA91E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6AACD71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03C44FD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D36E33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5DB66F3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3AD6905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546B316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284DEBC9"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11898BF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8</w:t>
            </w:r>
          </w:p>
        </w:tc>
        <w:tc>
          <w:tcPr>
            <w:tcW w:w="568" w:type="dxa"/>
            <w:tcBorders>
              <w:top w:val="nil"/>
              <w:left w:val="nil"/>
              <w:bottom w:val="single" w:sz="4" w:space="0" w:color="auto"/>
              <w:right w:val="single" w:sz="4" w:space="0" w:color="auto"/>
            </w:tcBorders>
            <w:shd w:val="clear" w:color="000000" w:fill="FFFFFF"/>
            <w:noWrap/>
            <w:vAlign w:val="bottom"/>
            <w:hideMark/>
          </w:tcPr>
          <w:p w14:paraId="64CA527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40CBC9F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650F33C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3419A6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56CE389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05DCF6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69EA4E0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5CC0317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5435A02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57553885"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505B3BE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9</w:t>
            </w:r>
          </w:p>
        </w:tc>
        <w:tc>
          <w:tcPr>
            <w:tcW w:w="568" w:type="dxa"/>
            <w:tcBorders>
              <w:top w:val="nil"/>
              <w:left w:val="nil"/>
              <w:bottom w:val="single" w:sz="4" w:space="0" w:color="auto"/>
              <w:right w:val="single" w:sz="4" w:space="0" w:color="auto"/>
            </w:tcBorders>
            <w:shd w:val="clear" w:color="000000" w:fill="FFFFFF"/>
            <w:noWrap/>
            <w:vAlign w:val="bottom"/>
            <w:hideMark/>
          </w:tcPr>
          <w:p w14:paraId="571634D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09F5AB6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30BCF74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5C66C0A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6CFA5F9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5C31631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6DB4522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39BFD33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0F15EDE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4523FAC1"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7B66329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10</w:t>
            </w:r>
          </w:p>
        </w:tc>
        <w:tc>
          <w:tcPr>
            <w:tcW w:w="568" w:type="dxa"/>
            <w:tcBorders>
              <w:top w:val="nil"/>
              <w:left w:val="nil"/>
              <w:bottom w:val="single" w:sz="4" w:space="0" w:color="auto"/>
              <w:right w:val="single" w:sz="4" w:space="0" w:color="auto"/>
            </w:tcBorders>
            <w:shd w:val="clear" w:color="000000" w:fill="FFFFFF"/>
            <w:noWrap/>
            <w:vAlign w:val="bottom"/>
            <w:hideMark/>
          </w:tcPr>
          <w:p w14:paraId="1AAF906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5C43156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14982E4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D339C2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2FF9650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DA5522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1A4D53C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23938FD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6F02452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5AE72DFD"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1057954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11</w:t>
            </w:r>
          </w:p>
        </w:tc>
        <w:tc>
          <w:tcPr>
            <w:tcW w:w="568" w:type="dxa"/>
            <w:tcBorders>
              <w:top w:val="nil"/>
              <w:left w:val="nil"/>
              <w:bottom w:val="single" w:sz="4" w:space="0" w:color="auto"/>
              <w:right w:val="single" w:sz="4" w:space="0" w:color="auto"/>
            </w:tcBorders>
            <w:shd w:val="clear" w:color="000000" w:fill="FFFFFF"/>
            <w:noWrap/>
            <w:vAlign w:val="bottom"/>
            <w:hideMark/>
          </w:tcPr>
          <w:p w14:paraId="0B05C1F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76EF1B6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4DFA8C1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FDC3F9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5F81694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2B0198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38CF9F3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101AE42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72AFBCB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0459622F"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71DC32A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12</w:t>
            </w:r>
          </w:p>
        </w:tc>
        <w:tc>
          <w:tcPr>
            <w:tcW w:w="568" w:type="dxa"/>
            <w:tcBorders>
              <w:top w:val="nil"/>
              <w:left w:val="nil"/>
              <w:bottom w:val="single" w:sz="4" w:space="0" w:color="auto"/>
              <w:right w:val="single" w:sz="4" w:space="0" w:color="auto"/>
            </w:tcBorders>
            <w:shd w:val="clear" w:color="000000" w:fill="FFFFFF"/>
            <w:noWrap/>
            <w:vAlign w:val="bottom"/>
            <w:hideMark/>
          </w:tcPr>
          <w:p w14:paraId="278F1DA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3871A7D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7B41064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89B82F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50FC83E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25D92B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5AD1F66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43E6C6A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075FE17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7BB3E2C6"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7418514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13</w:t>
            </w:r>
          </w:p>
        </w:tc>
        <w:tc>
          <w:tcPr>
            <w:tcW w:w="568" w:type="dxa"/>
            <w:tcBorders>
              <w:top w:val="nil"/>
              <w:left w:val="nil"/>
              <w:bottom w:val="single" w:sz="4" w:space="0" w:color="auto"/>
              <w:right w:val="single" w:sz="4" w:space="0" w:color="auto"/>
            </w:tcBorders>
            <w:shd w:val="clear" w:color="000000" w:fill="FFFFFF"/>
            <w:noWrap/>
            <w:vAlign w:val="bottom"/>
            <w:hideMark/>
          </w:tcPr>
          <w:p w14:paraId="63F3177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7FD70D4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78249A8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F4A23E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4A5071E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B2E264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047F1B3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1B446B1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2ACC53B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1467CF20"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3F0FC39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14</w:t>
            </w:r>
          </w:p>
        </w:tc>
        <w:tc>
          <w:tcPr>
            <w:tcW w:w="568" w:type="dxa"/>
            <w:tcBorders>
              <w:top w:val="nil"/>
              <w:left w:val="nil"/>
              <w:bottom w:val="single" w:sz="4" w:space="0" w:color="auto"/>
              <w:right w:val="single" w:sz="4" w:space="0" w:color="auto"/>
            </w:tcBorders>
            <w:shd w:val="clear" w:color="000000" w:fill="FFFFFF"/>
            <w:noWrap/>
            <w:vAlign w:val="bottom"/>
            <w:hideMark/>
          </w:tcPr>
          <w:p w14:paraId="5ACF1C7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5685072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48706D4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C1C741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0A9F4F0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CA7BF3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6A5FB4F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74AE379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5A9800E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4B460DFE"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6D81C85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lastRenderedPageBreak/>
              <w:t>15</w:t>
            </w:r>
          </w:p>
        </w:tc>
        <w:tc>
          <w:tcPr>
            <w:tcW w:w="568" w:type="dxa"/>
            <w:tcBorders>
              <w:top w:val="nil"/>
              <w:left w:val="nil"/>
              <w:bottom w:val="single" w:sz="4" w:space="0" w:color="auto"/>
              <w:right w:val="single" w:sz="4" w:space="0" w:color="auto"/>
            </w:tcBorders>
            <w:shd w:val="clear" w:color="000000" w:fill="FFFFFF"/>
            <w:noWrap/>
            <w:vAlign w:val="bottom"/>
            <w:hideMark/>
          </w:tcPr>
          <w:p w14:paraId="26F01AB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643D6EE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23D3F23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4FF726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26D4DE7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F68520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701FB09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0AC710E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11DFA19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6BED1963"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5993ACB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16</w:t>
            </w:r>
          </w:p>
        </w:tc>
        <w:tc>
          <w:tcPr>
            <w:tcW w:w="568" w:type="dxa"/>
            <w:tcBorders>
              <w:top w:val="nil"/>
              <w:left w:val="nil"/>
              <w:bottom w:val="single" w:sz="4" w:space="0" w:color="auto"/>
              <w:right w:val="single" w:sz="4" w:space="0" w:color="auto"/>
            </w:tcBorders>
            <w:shd w:val="clear" w:color="000000" w:fill="FFFFFF"/>
            <w:noWrap/>
            <w:vAlign w:val="bottom"/>
            <w:hideMark/>
          </w:tcPr>
          <w:p w14:paraId="115550A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1103F9A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608D2D1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308D39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24AAB6E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43699D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7DB8F7F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3C0CB7C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4EF36EC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065129A7"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01F3D00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17</w:t>
            </w:r>
          </w:p>
        </w:tc>
        <w:tc>
          <w:tcPr>
            <w:tcW w:w="568" w:type="dxa"/>
            <w:tcBorders>
              <w:top w:val="nil"/>
              <w:left w:val="nil"/>
              <w:bottom w:val="single" w:sz="4" w:space="0" w:color="auto"/>
              <w:right w:val="single" w:sz="4" w:space="0" w:color="auto"/>
            </w:tcBorders>
            <w:shd w:val="clear" w:color="000000" w:fill="FFFFFF"/>
            <w:noWrap/>
            <w:vAlign w:val="bottom"/>
            <w:hideMark/>
          </w:tcPr>
          <w:p w14:paraId="0181113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4F7D141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0C7882E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6439D4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6AF4BAA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9AA668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292CF1B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3C40A4D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17006C8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47CA2878"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72B7A9A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18</w:t>
            </w:r>
          </w:p>
        </w:tc>
        <w:tc>
          <w:tcPr>
            <w:tcW w:w="568" w:type="dxa"/>
            <w:tcBorders>
              <w:top w:val="nil"/>
              <w:left w:val="nil"/>
              <w:bottom w:val="single" w:sz="4" w:space="0" w:color="auto"/>
              <w:right w:val="single" w:sz="4" w:space="0" w:color="auto"/>
            </w:tcBorders>
            <w:shd w:val="clear" w:color="000000" w:fill="FFFFFF"/>
            <w:noWrap/>
            <w:vAlign w:val="bottom"/>
            <w:hideMark/>
          </w:tcPr>
          <w:p w14:paraId="0AF38E0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3C9BBAC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3D58DB7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4E7BA5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18E4AD9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7E3673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09FBBD7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19A13EB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59EF2E2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3E668499"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317F541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19</w:t>
            </w:r>
          </w:p>
        </w:tc>
        <w:tc>
          <w:tcPr>
            <w:tcW w:w="568" w:type="dxa"/>
            <w:tcBorders>
              <w:top w:val="nil"/>
              <w:left w:val="nil"/>
              <w:bottom w:val="single" w:sz="4" w:space="0" w:color="auto"/>
              <w:right w:val="single" w:sz="4" w:space="0" w:color="auto"/>
            </w:tcBorders>
            <w:shd w:val="clear" w:color="000000" w:fill="FFFFFF"/>
            <w:noWrap/>
            <w:vAlign w:val="bottom"/>
            <w:hideMark/>
          </w:tcPr>
          <w:p w14:paraId="7CC8ED2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433F27B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68E29D6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58BE163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0F664D7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62B684C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0F10A92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0D34FA8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447B0473"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022DF07A"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7DF9ACB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20</w:t>
            </w:r>
          </w:p>
        </w:tc>
        <w:tc>
          <w:tcPr>
            <w:tcW w:w="568" w:type="dxa"/>
            <w:tcBorders>
              <w:top w:val="nil"/>
              <w:left w:val="nil"/>
              <w:bottom w:val="single" w:sz="4" w:space="0" w:color="auto"/>
              <w:right w:val="single" w:sz="4" w:space="0" w:color="auto"/>
            </w:tcBorders>
            <w:shd w:val="clear" w:color="000000" w:fill="FFFFFF"/>
            <w:noWrap/>
            <w:vAlign w:val="bottom"/>
            <w:hideMark/>
          </w:tcPr>
          <w:p w14:paraId="6E64894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21F25E4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6A169CC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0089953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392D98A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544F67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61AFE4F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33F0626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27FBCE8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2A519C60"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376F21F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21</w:t>
            </w:r>
          </w:p>
        </w:tc>
        <w:tc>
          <w:tcPr>
            <w:tcW w:w="568" w:type="dxa"/>
            <w:tcBorders>
              <w:top w:val="nil"/>
              <w:left w:val="nil"/>
              <w:bottom w:val="single" w:sz="4" w:space="0" w:color="auto"/>
              <w:right w:val="single" w:sz="4" w:space="0" w:color="auto"/>
            </w:tcBorders>
            <w:shd w:val="clear" w:color="000000" w:fill="FFFFFF"/>
            <w:noWrap/>
            <w:vAlign w:val="bottom"/>
            <w:hideMark/>
          </w:tcPr>
          <w:p w14:paraId="3D7773B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2A9F7360"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4219E45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7658EB5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4C49425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3184015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3035383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04BB1B69"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191734C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7CF5F9E6"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17E8EB0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22</w:t>
            </w:r>
          </w:p>
        </w:tc>
        <w:tc>
          <w:tcPr>
            <w:tcW w:w="568" w:type="dxa"/>
            <w:tcBorders>
              <w:top w:val="nil"/>
              <w:left w:val="nil"/>
              <w:bottom w:val="single" w:sz="4" w:space="0" w:color="auto"/>
              <w:right w:val="single" w:sz="4" w:space="0" w:color="auto"/>
            </w:tcBorders>
            <w:shd w:val="clear" w:color="000000" w:fill="FFFFFF"/>
            <w:noWrap/>
            <w:vAlign w:val="bottom"/>
            <w:hideMark/>
          </w:tcPr>
          <w:p w14:paraId="5D8DA22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1D92322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0C9B757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42F6018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72A5E48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613CB6E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7141AE0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7FBE5B3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44BF60E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22663354"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0380E74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23</w:t>
            </w:r>
          </w:p>
        </w:tc>
        <w:tc>
          <w:tcPr>
            <w:tcW w:w="568" w:type="dxa"/>
            <w:tcBorders>
              <w:top w:val="nil"/>
              <w:left w:val="nil"/>
              <w:bottom w:val="single" w:sz="4" w:space="0" w:color="auto"/>
              <w:right w:val="single" w:sz="4" w:space="0" w:color="auto"/>
            </w:tcBorders>
            <w:shd w:val="clear" w:color="000000" w:fill="FFFFFF"/>
            <w:noWrap/>
            <w:vAlign w:val="bottom"/>
            <w:hideMark/>
          </w:tcPr>
          <w:p w14:paraId="0335C9B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418938E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4859605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7D2F48E"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62FCAF78"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12E47E2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62C8D67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4DD9735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2A29D89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4CC2A2AA"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45CBF2A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24</w:t>
            </w:r>
          </w:p>
        </w:tc>
        <w:tc>
          <w:tcPr>
            <w:tcW w:w="568" w:type="dxa"/>
            <w:tcBorders>
              <w:top w:val="nil"/>
              <w:left w:val="nil"/>
              <w:bottom w:val="single" w:sz="4" w:space="0" w:color="auto"/>
              <w:right w:val="single" w:sz="4" w:space="0" w:color="auto"/>
            </w:tcBorders>
            <w:shd w:val="clear" w:color="000000" w:fill="FFFFFF"/>
            <w:noWrap/>
            <w:vAlign w:val="bottom"/>
            <w:hideMark/>
          </w:tcPr>
          <w:p w14:paraId="3C2817E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6928E33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60A16B9A"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BA9DCBF"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2E86512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71E3D666"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4CA4FEB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70CC8F7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186" w:type="dxa"/>
            <w:tcBorders>
              <w:top w:val="nil"/>
              <w:left w:val="nil"/>
              <w:bottom w:val="single" w:sz="4" w:space="0" w:color="auto"/>
              <w:right w:val="single" w:sz="4" w:space="0" w:color="auto"/>
            </w:tcBorders>
            <w:shd w:val="clear" w:color="000000" w:fill="FFFFFF"/>
            <w:noWrap/>
            <w:vAlign w:val="bottom"/>
            <w:hideMark/>
          </w:tcPr>
          <w:p w14:paraId="72A8B20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€ 220,522,172</w:t>
            </w:r>
          </w:p>
        </w:tc>
      </w:tr>
      <w:tr w:rsidR="005607E2" w:rsidRPr="00CD00A0" w14:paraId="17829B24"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FFFFF"/>
            <w:noWrap/>
            <w:vAlign w:val="bottom"/>
            <w:hideMark/>
          </w:tcPr>
          <w:p w14:paraId="61E731CB"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25</w:t>
            </w:r>
          </w:p>
        </w:tc>
        <w:tc>
          <w:tcPr>
            <w:tcW w:w="568" w:type="dxa"/>
            <w:tcBorders>
              <w:top w:val="nil"/>
              <w:left w:val="nil"/>
              <w:bottom w:val="single" w:sz="4" w:space="0" w:color="auto"/>
              <w:right w:val="single" w:sz="4" w:space="0" w:color="auto"/>
            </w:tcBorders>
            <w:shd w:val="clear" w:color="000000" w:fill="FFFFFF"/>
            <w:noWrap/>
            <w:vAlign w:val="bottom"/>
            <w:hideMark/>
          </w:tcPr>
          <w:p w14:paraId="7D6E110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FFFFF"/>
            <w:noWrap/>
            <w:vAlign w:val="bottom"/>
            <w:hideMark/>
          </w:tcPr>
          <w:p w14:paraId="028F78E2"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FFFFF"/>
            <w:noWrap/>
            <w:vAlign w:val="bottom"/>
            <w:hideMark/>
          </w:tcPr>
          <w:p w14:paraId="551D330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5C3B1425"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€ 82,569,641</w:t>
            </w:r>
          </w:p>
        </w:tc>
        <w:tc>
          <w:tcPr>
            <w:tcW w:w="812" w:type="dxa"/>
            <w:tcBorders>
              <w:top w:val="nil"/>
              <w:left w:val="nil"/>
              <w:bottom w:val="single" w:sz="4" w:space="0" w:color="auto"/>
              <w:right w:val="single" w:sz="4" w:space="0" w:color="auto"/>
            </w:tcBorders>
            <w:shd w:val="clear" w:color="000000" w:fill="FFFFFF"/>
            <w:noWrap/>
            <w:vAlign w:val="bottom"/>
            <w:hideMark/>
          </w:tcPr>
          <w:p w14:paraId="6180AB4D"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FFFFF"/>
            <w:noWrap/>
            <w:vAlign w:val="bottom"/>
            <w:hideMark/>
          </w:tcPr>
          <w:p w14:paraId="20389D57"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€ 137,952,532</w:t>
            </w:r>
          </w:p>
        </w:tc>
        <w:tc>
          <w:tcPr>
            <w:tcW w:w="1186" w:type="dxa"/>
            <w:tcBorders>
              <w:top w:val="nil"/>
              <w:left w:val="nil"/>
              <w:bottom w:val="single" w:sz="4" w:space="0" w:color="auto"/>
              <w:right w:val="single" w:sz="4" w:space="0" w:color="auto"/>
            </w:tcBorders>
            <w:shd w:val="clear" w:color="000000" w:fill="FFFFFF"/>
            <w:noWrap/>
            <w:vAlign w:val="bottom"/>
            <w:hideMark/>
          </w:tcPr>
          <w:p w14:paraId="36F8C974"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w:t>
            </w:r>
          </w:p>
        </w:tc>
        <w:tc>
          <w:tcPr>
            <w:tcW w:w="1059" w:type="dxa"/>
            <w:tcBorders>
              <w:top w:val="nil"/>
              <w:left w:val="nil"/>
              <w:bottom w:val="single" w:sz="4" w:space="0" w:color="auto"/>
              <w:right w:val="single" w:sz="4" w:space="0" w:color="auto"/>
            </w:tcBorders>
            <w:shd w:val="clear" w:color="000000" w:fill="FFFFFF"/>
            <w:noWrap/>
            <w:vAlign w:val="bottom"/>
            <w:hideMark/>
          </w:tcPr>
          <w:p w14:paraId="01553F7C"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€ 435,000,000</w:t>
            </w:r>
          </w:p>
        </w:tc>
        <w:tc>
          <w:tcPr>
            <w:tcW w:w="1186" w:type="dxa"/>
            <w:tcBorders>
              <w:top w:val="nil"/>
              <w:left w:val="nil"/>
              <w:bottom w:val="single" w:sz="4" w:space="0" w:color="auto"/>
              <w:right w:val="single" w:sz="4" w:space="0" w:color="auto"/>
            </w:tcBorders>
            <w:shd w:val="clear" w:color="000000" w:fill="FFFFFF"/>
            <w:noWrap/>
            <w:vAlign w:val="bottom"/>
            <w:hideMark/>
          </w:tcPr>
          <w:p w14:paraId="3E713171" w14:textId="77777777" w:rsidR="00CD00A0" w:rsidRPr="00CD00A0" w:rsidRDefault="00CD00A0" w:rsidP="00CD00A0">
            <w:pPr>
              <w:spacing w:after="0" w:line="240" w:lineRule="auto"/>
              <w:jc w:val="center"/>
              <w:rPr>
                <w:rFonts w:ascii="Calibri" w:eastAsia="Times New Roman" w:hAnsi="Calibri" w:cs="Calibri"/>
                <w:color w:val="000000"/>
                <w:kern w:val="0"/>
                <w:lang w:eastAsia="en-GB"/>
                <w14:ligatures w14:val="none"/>
              </w:rPr>
            </w:pPr>
            <w:r w:rsidRPr="00CD00A0">
              <w:rPr>
                <w:rFonts w:ascii="Calibri" w:eastAsia="Times New Roman" w:hAnsi="Calibri" w:cs="Calibri"/>
                <w:color w:val="000000"/>
                <w:kern w:val="0"/>
                <w:lang w:eastAsia="en-GB"/>
                <w14:ligatures w14:val="none"/>
              </w:rPr>
              <w:t>€ 655,522,172</w:t>
            </w:r>
          </w:p>
        </w:tc>
      </w:tr>
      <w:tr w:rsidR="005607E2" w:rsidRPr="00CD00A0" w14:paraId="4FEA1774" w14:textId="77777777" w:rsidTr="00843A57">
        <w:trPr>
          <w:trHeight w:val="393"/>
        </w:trPr>
        <w:tc>
          <w:tcPr>
            <w:tcW w:w="578" w:type="dxa"/>
            <w:tcBorders>
              <w:top w:val="nil"/>
              <w:left w:val="single" w:sz="4" w:space="0" w:color="auto"/>
              <w:bottom w:val="single" w:sz="4" w:space="0" w:color="auto"/>
              <w:right w:val="single" w:sz="4" w:space="0" w:color="auto"/>
            </w:tcBorders>
            <w:shd w:val="clear" w:color="000000" w:fill="F2F2F2"/>
            <w:noWrap/>
            <w:vAlign w:val="bottom"/>
            <w:hideMark/>
          </w:tcPr>
          <w:p w14:paraId="08865FEA" w14:textId="77777777" w:rsidR="00CD00A0" w:rsidRPr="00CD00A0" w:rsidRDefault="00CD00A0" w:rsidP="00CD00A0">
            <w:pPr>
              <w:spacing w:after="0" w:line="240" w:lineRule="auto"/>
              <w:jc w:val="center"/>
              <w:rPr>
                <w:rFonts w:ascii="Arial" w:eastAsia="Times New Roman" w:hAnsi="Arial" w:cs="Arial"/>
                <w:b/>
                <w:bCs/>
                <w:kern w:val="0"/>
                <w:sz w:val="20"/>
                <w:szCs w:val="20"/>
                <w:lang w:eastAsia="en-GB"/>
                <w14:ligatures w14:val="none"/>
              </w:rPr>
            </w:pPr>
            <w:r w:rsidRPr="00CD00A0">
              <w:rPr>
                <w:rFonts w:ascii="Arial" w:eastAsia="Times New Roman" w:hAnsi="Arial" w:cs="Arial"/>
                <w:b/>
                <w:bCs/>
                <w:kern w:val="0"/>
                <w:sz w:val="20"/>
                <w:szCs w:val="20"/>
                <w:lang w:eastAsia="en-GB"/>
                <w14:ligatures w14:val="none"/>
              </w:rPr>
              <w:t>Total</w:t>
            </w:r>
          </w:p>
        </w:tc>
        <w:tc>
          <w:tcPr>
            <w:tcW w:w="568" w:type="dxa"/>
            <w:tcBorders>
              <w:top w:val="nil"/>
              <w:left w:val="nil"/>
              <w:bottom w:val="single" w:sz="4" w:space="0" w:color="auto"/>
              <w:right w:val="single" w:sz="4" w:space="0" w:color="auto"/>
            </w:tcBorders>
            <w:shd w:val="clear" w:color="000000" w:fill="F2F2F2"/>
            <w:noWrap/>
            <w:vAlign w:val="bottom"/>
            <w:hideMark/>
          </w:tcPr>
          <w:p w14:paraId="261A5173"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€ 0</w:t>
            </w:r>
          </w:p>
        </w:tc>
        <w:tc>
          <w:tcPr>
            <w:tcW w:w="728" w:type="dxa"/>
            <w:tcBorders>
              <w:top w:val="nil"/>
              <w:left w:val="nil"/>
              <w:bottom w:val="single" w:sz="4" w:space="0" w:color="auto"/>
              <w:right w:val="single" w:sz="4" w:space="0" w:color="auto"/>
            </w:tcBorders>
            <w:shd w:val="clear" w:color="000000" w:fill="F2F2F2"/>
            <w:noWrap/>
            <w:vAlign w:val="bottom"/>
            <w:hideMark/>
          </w:tcPr>
          <w:p w14:paraId="5AB38084"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€ 0</w:t>
            </w:r>
          </w:p>
        </w:tc>
        <w:tc>
          <w:tcPr>
            <w:tcW w:w="527" w:type="dxa"/>
            <w:tcBorders>
              <w:top w:val="nil"/>
              <w:left w:val="nil"/>
              <w:bottom w:val="single" w:sz="4" w:space="0" w:color="auto"/>
              <w:right w:val="single" w:sz="4" w:space="0" w:color="auto"/>
            </w:tcBorders>
            <w:shd w:val="clear" w:color="000000" w:fill="F2F2F2"/>
            <w:noWrap/>
            <w:vAlign w:val="bottom"/>
            <w:hideMark/>
          </w:tcPr>
          <w:p w14:paraId="33563CB1"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2F2F2"/>
            <w:noWrap/>
            <w:vAlign w:val="bottom"/>
            <w:hideMark/>
          </w:tcPr>
          <w:p w14:paraId="0E632BFE"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€ 1,818,444,053</w:t>
            </w:r>
          </w:p>
        </w:tc>
        <w:tc>
          <w:tcPr>
            <w:tcW w:w="812" w:type="dxa"/>
            <w:tcBorders>
              <w:top w:val="nil"/>
              <w:left w:val="nil"/>
              <w:bottom w:val="single" w:sz="4" w:space="0" w:color="auto"/>
              <w:right w:val="single" w:sz="4" w:space="0" w:color="auto"/>
            </w:tcBorders>
            <w:shd w:val="clear" w:color="000000" w:fill="F2F2F2"/>
            <w:noWrap/>
            <w:vAlign w:val="bottom"/>
            <w:hideMark/>
          </w:tcPr>
          <w:p w14:paraId="0D9B7303"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€ 0</w:t>
            </w:r>
          </w:p>
        </w:tc>
        <w:tc>
          <w:tcPr>
            <w:tcW w:w="1186" w:type="dxa"/>
            <w:tcBorders>
              <w:top w:val="nil"/>
              <w:left w:val="nil"/>
              <w:bottom w:val="single" w:sz="4" w:space="0" w:color="auto"/>
              <w:right w:val="single" w:sz="4" w:space="0" w:color="auto"/>
            </w:tcBorders>
            <w:shd w:val="clear" w:color="000000" w:fill="F2F2F2"/>
            <w:noWrap/>
            <w:vAlign w:val="bottom"/>
            <w:hideMark/>
          </w:tcPr>
          <w:p w14:paraId="1F97F55C"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€ 5,790,471,439</w:t>
            </w:r>
          </w:p>
        </w:tc>
        <w:tc>
          <w:tcPr>
            <w:tcW w:w="1186" w:type="dxa"/>
            <w:tcBorders>
              <w:top w:val="nil"/>
              <w:left w:val="nil"/>
              <w:bottom w:val="single" w:sz="4" w:space="0" w:color="auto"/>
              <w:right w:val="single" w:sz="4" w:space="0" w:color="auto"/>
            </w:tcBorders>
            <w:shd w:val="clear" w:color="000000" w:fill="F2F2F2"/>
            <w:noWrap/>
            <w:vAlign w:val="bottom"/>
            <w:hideMark/>
          </w:tcPr>
          <w:p w14:paraId="23AC97E6"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€ 2,741,596,639</w:t>
            </w:r>
          </w:p>
        </w:tc>
        <w:tc>
          <w:tcPr>
            <w:tcW w:w="1059" w:type="dxa"/>
            <w:tcBorders>
              <w:top w:val="nil"/>
              <w:left w:val="nil"/>
              <w:bottom w:val="single" w:sz="4" w:space="0" w:color="auto"/>
              <w:right w:val="single" w:sz="4" w:space="0" w:color="auto"/>
            </w:tcBorders>
            <w:shd w:val="clear" w:color="000000" w:fill="F2F2F2"/>
            <w:noWrap/>
            <w:vAlign w:val="bottom"/>
            <w:hideMark/>
          </w:tcPr>
          <w:p w14:paraId="2F4C255A"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€ 430,693,069</w:t>
            </w:r>
          </w:p>
        </w:tc>
        <w:tc>
          <w:tcPr>
            <w:tcW w:w="1186" w:type="dxa"/>
            <w:tcBorders>
              <w:top w:val="nil"/>
              <w:left w:val="nil"/>
              <w:bottom w:val="single" w:sz="4" w:space="0" w:color="auto"/>
              <w:right w:val="single" w:sz="4" w:space="0" w:color="auto"/>
            </w:tcBorders>
            <w:shd w:val="clear" w:color="000000" w:fill="F2F2F2"/>
            <w:noWrap/>
            <w:vAlign w:val="bottom"/>
            <w:hideMark/>
          </w:tcPr>
          <w:p w14:paraId="1741BC86" w14:textId="77777777" w:rsidR="00CD00A0" w:rsidRPr="00CD00A0" w:rsidRDefault="00CD00A0" w:rsidP="00CD00A0">
            <w:pPr>
              <w:spacing w:after="0" w:line="240" w:lineRule="auto"/>
              <w:jc w:val="center"/>
              <w:rPr>
                <w:rFonts w:ascii="Calibri" w:eastAsia="Times New Roman" w:hAnsi="Calibri" w:cs="Calibri"/>
                <w:b/>
                <w:bCs/>
                <w:color w:val="000000"/>
                <w:kern w:val="0"/>
                <w:lang w:eastAsia="en-GB"/>
                <w14:ligatures w14:val="none"/>
              </w:rPr>
            </w:pPr>
            <w:r w:rsidRPr="00CD00A0">
              <w:rPr>
                <w:rFonts w:ascii="Calibri" w:eastAsia="Times New Roman" w:hAnsi="Calibri" w:cs="Calibri"/>
                <w:b/>
                <w:bCs/>
                <w:color w:val="000000"/>
                <w:kern w:val="0"/>
                <w:lang w:eastAsia="en-GB"/>
                <w14:ligatures w14:val="none"/>
              </w:rPr>
              <w:t>€ 5,206,518,127</w:t>
            </w:r>
          </w:p>
        </w:tc>
      </w:tr>
    </w:tbl>
    <w:p w14:paraId="52ADDE19" w14:textId="77777777" w:rsidR="00097CED" w:rsidRPr="00215864" w:rsidRDefault="00097CED" w:rsidP="00215864">
      <w:pPr>
        <w:rPr>
          <w:lang w:val="it-IT"/>
        </w:rPr>
      </w:pPr>
    </w:p>
    <w:sectPr w:rsidR="00097CED" w:rsidRPr="002158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44692" w14:textId="77777777" w:rsidR="00A9522D" w:rsidRDefault="00A9522D" w:rsidP="00445D98">
      <w:pPr>
        <w:spacing w:after="0" w:line="240" w:lineRule="auto"/>
      </w:pPr>
      <w:r>
        <w:separator/>
      </w:r>
    </w:p>
  </w:endnote>
  <w:endnote w:type="continuationSeparator" w:id="0">
    <w:p w14:paraId="2A2C20D1" w14:textId="77777777" w:rsidR="00A9522D" w:rsidRDefault="00A9522D" w:rsidP="00445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hury Gothic">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377E" w14:textId="77777777" w:rsidR="00A9522D" w:rsidRDefault="00A9522D" w:rsidP="00445D98">
      <w:pPr>
        <w:spacing w:after="0" w:line="240" w:lineRule="auto"/>
      </w:pPr>
      <w:r>
        <w:separator/>
      </w:r>
    </w:p>
  </w:footnote>
  <w:footnote w:type="continuationSeparator" w:id="0">
    <w:p w14:paraId="3290ACAD" w14:textId="77777777" w:rsidR="00A9522D" w:rsidRDefault="00A9522D" w:rsidP="00445D98">
      <w:pPr>
        <w:spacing w:after="0" w:line="240" w:lineRule="auto"/>
      </w:pPr>
      <w:r>
        <w:continuationSeparator/>
      </w:r>
    </w:p>
  </w:footnote>
  <w:footnote w:id="1">
    <w:p w14:paraId="1F38FB4A" w14:textId="49A1C1E3" w:rsidR="00445D98" w:rsidRDefault="00445D98">
      <w:pPr>
        <w:pStyle w:val="FootnoteText"/>
      </w:pPr>
      <w:r>
        <w:rPr>
          <w:rStyle w:val="FootnoteReference"/>
        </w:rPr>
        <w:footnoteRef/>
      </w:r>
      <w:r>
        <w:t xml:space="preserve"> </w:t>
      </w:r>
      <w:r w:rsidRPr="00445D98">
        <w:t>The basic principles for conducting a CBA as described in the “Methodology development for comprehensive Assessment” report of the JRC were incorporated into the presented methodology in Figure 1.</w:t>
      </w:r>
    </w:p>
  </w:footnote>
  <w:footnote w:id="2">
    <w:p w14:paraId="706A13DC" w14:textId="72C648A0" w:rsidR="00445D98" w:rsidRDefault="00445D98">
      <w:pPr>
        <w:pStyle w:val="FootnoteText"/>
      </w:pPr>
      <w:r>
        <w:rPr>
          <w:rStyle w:val="FootnoteReference"/>
        </w:rPr>
        <w:footnoteRef/>
      </w:r>
      <w:r>
        <w:t xml:space="preserve"> </w:t>
      </w:r>
      <w:r w:rsidRPr="00445D98">
        <w:t>It should be highlighted that the proposed methodology was developed within the framework of PRODESA project to assess the energy efficiency interventions in public buildings.</w:t>
      </w:r>
    </w:p>
  </w:footnote>
  <w:footnote w:id="3">
    <w:p w14:paraId="3B2F1F01" w14:textId="750F84D7" w:rsidR="00445D98" w:rsidRDefault="00445D98">
      <w:pPr>
        <w:pStyle w:val="FootnoteText"/>
      </w:pPr>
      <w:r>
        <w:rPr>
          <w:rStyle w:val="FootnoteReference"/>
        </w:rPr>
        <w:footnoteRef/>
      </w:r>
      <w:r>
        <w:t xml:space="preserve"> </w:t>
      </w:r>
      <w:r w:rsidRPr="00445D98">
        <w:t>Alberici et al., 2014. Subsidies and costs of EU energy. Ecofys by order European Commission.</w:t>
      </w:r>
    </w:p>
  </w:footnote>
  <w:footnote w:id="4">
    <w:p w14:paraId="2B57CB2A" w14:textId="5E473C89" w:rsidR="00445D98" w:rsidRDefault="00445D98">
      <w:pPr>
        <w:pStyle w:val="FootnoteText"/>
      </w:pPr>
      <w:r>
        <w:rPr>
          <w:rStyle w:val="FootnoteReference"/>
        </w:rPr>
        <w:footnoteRef/>
      </w:r>
      <w:r>
        <w:t xml:space="preserve"> </w:t>
      </w:r>
      <w:r w:rsidRPr="00445D98">
        <w:t>Russell et al., 2015. Recognizing the Value of Energy Efficiency’s Multiple Benefits. Report IE1502.</w:t>
      </w:r>
    </w:p>
  </w:footnote>
  <w:footnote w:id="5">
    <w:p w14:paraId="6D993040" w14:textId="28E507EE" w:rsidR="008771A5" w:rsidRPr="007D6D01" w:rsidRDefault="008771A5">
      <w:pPr>
        <w:pStyle w:val="FootnoteText"/>
        <w:rPr>
          <w:rFonts w:asciiTheme="majorHAnsi" w:hAnsiTheme="majorHAnsi"/>
        </w:rPr>
      </w:pPr>
      <w:r w:rsidRPr="007D6D01">
        <w:rPr>
          <w:rStyle w:val="FootnoteReference"/>
          <w:rFonts w:asciiTheme="majorHAnsi" w:hAnsiTheme="majorHAnsi"/>
        </w:rPr>
        <w:footnoteRef/>
      </w:r>
      <w:r w:rsidRPr="007D6D01">
        <w:rPr>
          <w:rFonts w:asciiTheme="majorHAnsi" w:hAnsiTheme="majorHAnsi"/>
        </w:rPr>
        <w:t xml:space="preserve"> https://ec.europa.eu/energy/content/final-report-ecofys_da</w:t>
      </w:r>
    </w:p>
  </w:footnote>
  <w:footnote w:id="6">
    <w:p w14:paraId="35DB9353" w14:textId="77777777" w:rsidR="008771A5" w:rsidRPr="00870116" w:rsidRDefault="008771A5" w:rsidP="008771A5">
      <w:pPr>
        <w:pStyle w:val="FootnoteText"/>
        <w:rPr>
          <w:rFonts w:asciiTheme="minorBidi" w:hAnsiTheme="minorBidi"/>
          <w:sz w:val="18"/>
          <w:szCs w:val="18"/>
        </w:rPr>
      </w:pPr>
      <w:r w:rsidRPr="007D6D01">
        <w:rPr>
          <w:rStyle w:val="FootnoteReference"/>
          <w:rFonts w:asciiTheme="majorHAnsi" w:hAnsiTheme="majorHAnsi"/>
        </w:rPr>
        <w:footnoteRef/>
      </w:r>
      <w:r w:rsidRPr="007D6D01">
        <w:rPr>
          <w:rFonts w:asciiTheme="majorHAnsi" w:hAnsiTheme="majorHAnsi"/>
        </w:rPr>
        <w:t xml:space="preserve"> </w:t>
      </w:r>
      <w:r w:rsidRPr="007D6D01">
        <w:rPr>
          <w:rFonts w:asciiTheme="majorHAnsi" w:hAnsiTheme="majorHAnsi"/>
          <w:color w:val="000000"/>
        </w:rPr>
        <w:t>The environmental costs are much lower than the existing technologies. But they still have environmental costs, and we cannot neglect it. For example, for oil boiler is 32 EUR/MWh and for the new solar panel is 14.1 EUR/MWh.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A5BC3"/>
    <w:multiLevelType w:val="multilevel"/>
    <w:tmpl w:val="166A3B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156" w:hanging="360"/>
      </w:pPr>
      <w:rPr>
        <w:rFonts w:ascii="Courier New" w:eastAsia="Courier New" w:hAnsi="Courier New" w:cs="Courier New"/>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1" w15:restartNumberingAfterBreak="0">
    <w:nsid w:val="16531F96"/>
    <w:multiLevelType w:val="multilevel"/>
    <w:tmpl w:val="E5EE8BFC"/>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0FF0F6B"/>
    <w:multiLevelType w:val="hybridMultilevel"/>
    <w:tmpl w:val="CD480106"/>
    <w:lvl w:ilvl="0" w:tplc="80F850D4">
      <w:start w:val="1"/>
      <w:numFmt w:val="lowerLetter"/>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FC87F04"/>
    <w:multiLevelType w:val="multilevel"/>
    <w:tmpl w:val="3CEC9EF6"/>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75B33838"/>
    <w:multiLevelType w:val="multilevel"/>
    <w:tmpl w:val="F0544794"/>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75FD4F37"/>
    <w:multiLevelType w:val="hybridMultilevel"/>
    <w:tmpl w:val="52F01462"/>
    <w:lvl w:ilvl="0" w:tplc="6EBA6E58">
      <w:start w:val="1"/>
      <w:numFmt w:val="bullet"/>
      <w:lvlText w:val=""/>
      <w:lvlJc w:val="left"/>
      <w:pPr>
        <w:ind w:left="108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num w:numId="1" w16cid:durableId="128404066">
    <w:abstractNumId w:val="4"/>
  </w:num>
  <w:num w:numId="2" w16cid:durableId="1764569218">
    <w:abstractNumId w:val="3"/>
  </w:num>
  <w:num w:numId="3" w16cid:durableId="450829866">
    <w:abstractNumId w:val="1"/>
  </w:num>
  <w:num w:numId="4" w16cid:durableId="1638103598">
    <w:abstractNumId w:val="0"/>
  </w:num>
  <w:num w:numId="5" w16cid:durableId="883061705">
    <w:abstractNumId w:val="5"/>
  </w:num>
  <w:num w:numId="6" w16cid:durableId="19685842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98"/>
    <w:rsid w:val="00097CED"/>
    <w:rsid w:val="000D2421"/>
    <w:rsid w:val="001E171E"/>
    <w:rsid w:val="001E7E72"/>
    <w:rsid w:val="00215864"/>
    <w:rsid w:val="00215968"/>
    <w:rsid w:val="002538A9"/>
    <w:rsid w:val="00263E11"/>
    <w:rsid w:val="002E7E88"/>
    <w:rsid w:val="00306FC9"/>
    <w:rsid w:val="00363E3D"/>
    <w:rsid w:val="00365C2F"/>
    <w:rsid w:val="003A59DD"/>
    <w:rsid w:val="003D38FC"/>
    <w:rsid w:val="00415D88"/>
    <w:rsid w:val="00445D98"/>
    <w:rsid w:val="00452EB4"/>
    <w:rsid w:val="004A5C4A"/>
    <w:rsid w:val="004F7268"/>
    <w:rsid w:val="00532B76"/>
    <w:rsid w:val="005522A9"/>
    <w:rsid w:val="005607E2"/>
    <w:rsid w:val="005622C9"/>
    <w:rsid w:val="00586406"/>
    <w:rsid w:val="005A3ABC"/>
    <w:rsid w:val="005C42B2"/>
    <w:rsid w:val="00643381"/>
    <w:rsid w:val="0064767B"/>
    <w:rsid w:val="006A346F"/>
    <w:rsid w:val="006E2672"/>
    <w:rsid w:val="006F5CEA"/>
    <w:rsid w:val="00710E47"/>
    <w:rsid w:val="0074614C"/>
    <w:rsid w:val="00750E5E"/>
    <w:rsid w:val="007978F2"/>
    <w:rsid w:val="007D6D01"/>
    <w:rsid w:val="008318C7"/>
    <w:rsid w:val="00843A57"/>
    <w:rsid w:val="008771A5"/>
    <w:rsid w:val="00900E2E"/>
    <w:rsid w:val="0091298C"/>
    <w:rsid w:val="00972C91"/>
    <w:rsid w:val="00A174FA"/>
    <w:rsid w:val="00A5309C"/>
    <w:rsid w:val="00A86D83"/>
    <w:rsid w:val="00A9522D"/>
    <w:rsid w:val="00BA15D7"/>
    <w:rsid w:val="00BC238E"/>
    <w:rsid w:val="00BC26DD"/>
    <w:rsid w:val="00BC2EDC"/>
    <w:rsid w:val="00C06C48"/>
    <w:rsid w:val="00C743BA"/>
    <w:rsid w:val="00CC7327"/>
    <w:rsid w:val="00CD00A0"/>
    <w:rsid w:val="00CE7AF5"/>
    <w:rsid w:val="00CF14C1"/>
    <w:rsid w:val="00DE2CD8"/>
    <w:rsid w:val="00E01E1D"/>
    <w:rsid w:val="00E06324"/>
    <w:rsid w:val="00E61207"/>
    <w:rsid w:val="00EE0F36"/>
    <w:rsid w:val="00F279FE"/>
    <w:rsid w:val="00F421BA"/>
    <w:rsid w:val="00F44F43"/>
    <w:rsid w:val="00F8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756D4"/>
  <w15:chartTrackingRefBased/>
  <w15:docId w15:val="{CA011D05-B3C3-4125-AD44-B725A33D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E11"/>
  </w:style>
  <w:style w:type="paragraph" w:styleId="Heading1">
    <w:name w:val="heading 1"/>
    <w:basedOn w:val="Normal"/>
    <w:next w:val="Normal"/>
    <w:link w:val="Heading1Char"/>
    <w:uiPriority w:val="9"/>
    <w:qFormat/>
    <w:rsid w:val="00445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45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445D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45D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5D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5D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5D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5D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5D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5D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45D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445D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445D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5D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5D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5D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5D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5D98"/>
    <w:rPr>
      <w:rFonts w:eastAsiaTheme="majorEastAsia" w:cstheme="majorBidi"/>
      <w:color w:val="272727" w:themeColor="text1" w:themeTint="D8"/>
    </w:rPr>
  </w:style>
  <w:style w:type="paragraph" w:styleId="Title">
    <w:name w:val="Title"/>
    <w:basedOn w:val="Normal"/>
    <w:next w:val="Normal"/>
    <w:link w:val="TitleChar"/>
    <w:uiPriority w:val="10"/>
    <w:qFormat/>
    <w:rsid w:val="00445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5D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5D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5D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5D98"/>
    <w:pPr>
      <w:spacing w:before="160"/>
      <w:jc w:val="center"/>
    </w:pPr>
    <w:rPr>
      <w:i/>
      <w:iCs/>
      <w:color w:val="404040" w:themeColor="text1" w:themeTint="BF"/>
    </w:rPr>
  </w:style>
  <w:style w:type="character" w:customStyle="1" w:styleId="QuoteChar">
    <w:name w:val="Quote Char"/>
    <w:basedOn w:val="DefaultParagraphFont"/>
    <w:link w:val="Quote"/>
    <w:uiPriority w:val="29"/>
    <w:rsid w:val="00445D98"/>
    <w:rPr>
      <w:i/>
      <w:iCs/>
      <w:color w:val="404040" w:themeColor="text1" w:themeTint="BF"/>
    </w:rPr>
  </w:style>
  <w:style w:type="paragraph" w:styleId="ListParagraph">
    <w:name w:val="List Paragraph"/>
    <w:basedOn w:val="Normal"/>
    <w:uiPriority w:val="34"/>
    <w:qFormat/>
    <w:rsid w:val="00445D98"/>
    <w:pPr>
      <w:ind w:left="720"/>
      <w:contextualSpacing/>
    </w:pPr>
  </w:style>
  <w:style w:type="character" w:styleId="IntenseEmphasis">
    <w:name w:val="Intense Emphasis"/>
    <w:basedOn w:val="DefaultParagraphFont"/>
    <w:uiPriority w:val="21"/>
    <w:qFormat/>
    <w:rsid w:val="00445D98"/>
    <w:rPr>
      <w:i/>
      <w:iCs/>
      <w:color w:val="0F4761" w:themeColor="accent1" w:themeShade="BF"/>
    </w:rPr>
  </w:style>
  <w:style w:type="paragraph" w:styleId="IntenseQuote">
    <w:name w:val="Intense Quote"/>
    <w:basedOn w:val="Normal"/>
    <w:next w:val="Normal"/>
    <w:link w:val="IntenseQuoteChar"/>
    <w:uiPriority w:val="30"/>
    <w:qFormat/>
    <w:rsid w:val="00445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5D98"/>
    <w:rPr>
      <w:i/>
      <w:iCs/>
      <w:color w:val="0F4761" w:themeColor="accent1" w:themeShade="BF"/>
    </w:rPr>
  </w:style>
  <w:style w:type="character" w:styleId="IntenseReference">
    <w:name w:val="Intense Reference"/>
    <w:basedOn w:val="DefaultParagraphFont"/>
    <w:uiPriority w:val="32"/>
    <w:qFormat/>
    <w:rsid w:val="00445D98"/>
    <w:rPr>
      <w:b/>
      <w:bCs/>
      <w:smallCaps/>
      <w:color w:val="0F4761" w:themeColor="accent1" w:themeShade="BF"/>
      <w:spacing w:val="5"/>
    </w:rPr>
  </w:style>
  <w:style w:type="paragraph" w:styleId="FootnoteText">
    <w:name w:val="footnote text"/>
    <w:basedOn w:val="Normal"/>
    <w:link w:val="FootnoteTextChar"/>
    <w:uiPriority w:val="99"/>
    <w:unhideWhenUsed/>
    <w:rsid w:val="00445D98"/>
    <w:pPr>
      <w:spacing w:after="0" w:line="240" w:lineRule="auto"/>
    </w:pPr>
    <w:rPr>
      <w:sz w:val="20"/>
      <w:szCs w:val="20"/>
    </w:rPr>
  </w:style>
  <w:style w:type="character" w:customStyle="1" w:styleId="FootnoteTextChar">
    <w:name w:val="Footnote Text Char"/>
    <w:basedOn w:val="DefaultParagraphFont"/>
    <w:link w:val="FootnoteText"/>
    <w:uiPriority w:val="99"/>
    <w:rsid w:val="00445D98"/>
    <w:rPr>
      <w:sz w:val="20"/>
      <w:szCs w:val="20"/>
    </w:rPr>
  </w:style>
  <w:style w:type="character" w:styleId="FootnoteReference">
    <w:name w:val="footnote reference"/>
    <w:aliases w:val="Footer22,Footnote Reference Superscript,EN Footnote Reference,number,SUPERS,note TESI,Ref,de nota al pie,fr,Footnote symbol,Footnote number,o,Source Reference,Footnote reference number,-E Fußnotenzeichen,Times 10 Point,Exposant 3 Poin"/>
    <w:basedOn w:val="DefaultParagraphFont"/>
    <w:uiPriority w:val="99"/>
    <w:unhideWhenUsed/>
    <w:qFormat/>
    <w:rsid w:val="00445D98"/>
    <w:rPr>
      <w:vertAlign w:val="superscript"/>
    </w:rPr>
  </w:style>
  <w:style w:type="paragraph" w:styleId="Caption">
    <w:name w:val="caption"/>
    <w:basedOn w:val="Normal"/>
    <w:next w:val="Normal"/>
    <w:uiPriority w:val="35"/>
    <w:unhideWhenUsed/>
    <w:qFormat/>
    <w:rsid w:val="00445D98"/>
    <w:pPr>
      <w:spacing w:after="200" w:line="240" w:lineRule="auto"/>
    </w:pPr>
    <w:rPr>
      <w:i/>
      <w:iCs/>
      <w:color w:val="0E2841" w:themeColor="text2"/>
      <w:sz w:val="18"/>
      <w:szCs w:val="18"/>
    </w:rPr>
  </w:style>
  <w:style w:type="table" w:styleId="PlainTable1">
    <w:name w:val="Plain Table 1"/>
    <w:basedOn w:val="TableNormal"/>
    <w:uiPriority w:val="41"/>
    <w:rsid w:val="00445D98"/>
    <w:pPr>
      <w:spacing w:after="0" w:line="240" w:lineRule="auto"/>
      <w:jc w:val="left"/>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111">
    <w:name w:val="Plain Table 111"/>
    <w:basedOn w:val="TableNormal"/>
    <w:next w:val="PlainTable1"/>
    <w:uiPriority w:val="41"/>
    <w:rsid w:val="008771A5"/>
    <w:pPr>
      <w:spacing w:after="0" w:line="240" w:lineRule="auto"/>
      <w:jc w:val="left"/>
    </w:pPr>
    <w:rPr>
      <w:rFonts w:eastAsia="Times New Roman" w:cs="Arial"/>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Arial"/>
        <w:b/>
        <w:bCs/>
      </w:rPr>
    </w:tblStylePr>
    <w:tblStylePr w:type="lastRow">
      <w:rPr>
        <w:rFonts w:cs="Arial"/>
        <w:b/>
        <w:bCs/>
      </w:rPr>
      <w:tblPr/>
      <w:tcPr>
        <w:tcBorders>
          <w:top w:val="double" w:sz="4" w:space="0" w:color="BFBFBF"/>
        </w:tcBorders>
      </w:tcPr>
    </w:tblStylePr>
    <w:tblStylePr w:type="firstCol">
      <w:rPr>
        <w:rFonts w:cs="Arial"/>
        <w:b/>
        <w:bCs/>
      </w:rPr>
    </w:tblStylePr>
    <w:tblStylePr w:type="lastCol">
      <w:rPr>
        <w:rFonts w:cs="Arial"/>
        <w:b/>
        <w:bCs/>
      </w:rPr>
    </w:tblStylePr>
    <w:tblStylePr w:type="band1Vert">
      <w:rPr>
        <w:rFonts w:cs="Arial"/>
      </w:rPr>
      <w:tblPr/>
      <w:tcPr>
        <w:shd w:val="clear" w:color="auto" w:fill="F2F2F2"/>
      </w:tcPr>
    </w:tblStylePr>
    <w:tblStylePr w:type="band1Horz">
      <w:rPr>
        <w:rFonts w:cs="Arial"/>
      </w:rPr>
      <w:tblPr/>
      <w:tcPr>
        <w:shd w:val="clear" w:color="auto" w:fill="F2F2F2"/>
      </w:tcPr>
    </w:tblStylePr>
  </w:style>
  <w:style w:type="table" w:customStyle="1" w:styleId="80">
    <w:name w:val="80"/>
    <w:basedOn w:val="TableNormal"/>
    <w:rsid w:val="008771A5"/>
    <w:pPr>
      <w:spacing w:after="0" w:line="240" w:lineRule="auto"/>
      <w:jc w:val="left"/>
    </w:pPr>
    <w:rPr>
      <w:rFonts w:ascii="Times New Roman" w:eastAsia="Times New Roman" w:hAnsi="Times New Roman" w:cs="Times New Roman"/>
      <w:kern w:val="0"/>
      <w:sz w:val="24"/>
      <w:szCs w:val="24"/>
      <w:lang w:eastAsia="en-GB"/>
      <w14:ligatures w14:val="none"/>
    </w:r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79">
    <w:name w:val="79"/>
    <w:basedOn w:val="TableNormal"/>
    <w:rsid w:val="008771A5"/>
    <w:pPr>
      <w:spacing w:after="0" w:line="240" w:lineRule="auto"/>
      <w:jc w:val="left"/>
    </w:pPr>
    <w:rPr>
      <w:rFonts w:ascii="Times New Roman" w:eastAsia="Times New Roman" w:hAnsi="Times New Roman" w:cs="Times New Roman"/>
      <w:kern w:val="0"/>
      <w:sz w:val="24"/>
      <w:szCs w:val="24"/>
      <w:lang w:eastAsia="en-GB"/>
      <w14:ligatures w14:val="none"/>
    </w:r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ormal"/>
    <w:rsid w:val="008771A5"/>
    <w:pPr>
      <w:spacing w:before="100" w:beforeAutospacing="1" w:after="100" w:afterAutospacing="1" w:line="240" w:lineRule="auto"/>
      <w:jc w:val="left"/>
    </w:pPr>
    <w:rPr>
      <w:rFonts w:ascii="Times New Roman" w:eastAsia="Times New Roman" w:hAnsi="Times New Roman" w:cs="Times New Roman"/>
      <w:kern w:val="0"/>
      <w:sz w:val="24"/>
      <w:szCs w:val="24"/>
      <w:lang w:val="en-US" w:eastAsia="en-GB"/>
      <w14:ligatures w14:val="none"/>
    </w:rPr>
  </w:style>
  <w:style w:type="character" w:customStyle="1" w:styleId="normaltextrun">
    <w:name w:val="normaltextrun"/>
    <w:basedOn w:val="DefaultParagraphFont"/>
    <w:rsid w:val="008771A5"/>
  </w:style>
  <w:style w:type="character" w:customStyle="1" w:styleId="eop">
    <w:name w:val="eop"/>
    <w:basedOn w:val="DefaultParagraphFont"/>
    <w:rsid w:val="008771A5"/>
  </w:style>
  <w:style w:type="character" w:customStyle="1" w:styleId="ui-provider">
    <w:name w:val="ui-provider"/>
    <w:basedOn w:val="DefaultParagraphFont"/>
    <w:rsid w:val="00877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619">
      <w:bodyDiv w:val="1"/>
      <w:marLeft w:val="0"/>
      <w:marRight w:val="0"/>
      <w:marTop w:val="0"/>
      <w:marBottom w:val="0"/>
      <w:divBdr>
        <w:top w:val="none" w:sz="0" w:space="0" w:color="auto"/>
        <w:left w:val="none" w:sz="0" w:space="0" w:color="auto"/>
        <w:bottom w:val="none" w:sz="0" w:space="0" w:color="auto"/>
        <w:right w:val="none" w:sz="0" w:space="0" w:color="auto"/>
      </w:divBdr>
    </w:div>
    <w:div w:id="145778765">
      <w:bodyDiv w:val="1"/>
      <w:marLeft w:val="0"/>
      <w:marRight w:val="0"/>
      <w:marTop w:val="0"/>
      <w:marBottom w:val="0"/>
      <w:divBdr>
        <w:top w:val="none" w:sz="0" w:space="0" w:color="auto"/>
        <w:left w:val="none" w:sz="0" w:space="0" w:color="auto"/>
        <w:bottom w:val="none" w:sz="0" w:space="0" w:color="auto"/>
        <w:right w:val="none" w:sz="0" w:space="0" w:color="auto"/>
      </w:divBdr>
    </w:div>
    <w:div w:id="216665600">
      <w:bodyDiv w:val="1"/>
      <w:marLeft w:val="0"/>
      <w:marRight w:val="0"/>
      <w:marTop w:val="0"/>
      <w:marBottom w:val="0"/>
      <w:divBdr>
        <w:top w:val="none" w:sz="0" w:space="0" w:color="auto"/>
        <w:left w:val="none" w:sz="0" w:space="0" w:color="auto"/>
        <w:bottom w:val="none" w:sz="0" w:space="0" w:color="auto"/>
        <w:right w:val="none" w:sz="0" w:space="0" w:color="auto"/>
      </w:divBdr>
    </w:div>
    <w:div w:id="469640482">
      <w:bodyDiv w:val="1"/>
      <w:marLeft w:val="0"/>
      <w:marRight w:val="0"/>
      <w:marTop w:val="0"/>
      <w:marBottom w:val="0"/>
      <w:divBdr>
        <w:top w:val="none" w:sz="0" w:space="0" w:color="auto"/>
        <w:left w:val="none" w:sz="0" w:space="0" w:color="auto"/>
        <w:bottom w:val="none" w:sz="0" w:space="0" w:color="auto"/>
        <w:right w:val="none" w:sz="0" w:space="0" w:color="auto"/>
      </w:divBdr>
    </w:div>
    <w:div w:id="67326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ba4ee9-2a59-4025-b37e-c167292fdbe8">
      <Terms xmlns="http://schemas.microsoft.com/office/infopath/2007/PartnerControls"/>
    </lcf76f155ced4ddcb4097134ff3c332f>
    <TaxCatchAll xmlns="6b2c733d-f853-4704-bad8-f624003fa4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A283B5B60DE7E34FB7C94335263C33F7" ma:contentTypeVersion="14" ma:contentTypeDescription="Δημιουργία νέου εγγράφου" ma:contentTypeScope="" ma:versionID="a1ecaacf657598d43ee8d833495e0a07">
  <xsd:schema xmlns:xsd="http://www.w3.org/2001/XMLSchema" xmlns:xs="http://www.w3.org/2001/XMLSchema" xmlns:p="http://schemas.microsoft.com/office/2006/metadata/properties" xmlns:ns2="c6ba4ee9-2a59-4025-b37e-c167292fdbe8" xmlns:ns3="6b2c733d-f853-4704-bad8-f624003fa4a7" targetNamespace="http://schemas.microsoft.com/office/2006/metadata/properties" ma:root="true" ma:fieldsID="4f043de5df04c18cd8bf88fb1278fce8" ns2:_="" ns3:_="">
    <xsd:import namespace="c6ba4ee9-2a59-4025-b37e-c167292fdbe8"/>
    <xsd:import namespace="6b2c733d-f853-4704-bad8-f624003fa4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a4ee9-2a59-4025-b37e-c167292fdb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Ετικέτες εικόνας" ma:readOnly="false" ma:fieldId="{5cf76f15-5ced-4ddc-b409-7134ff3c332f}" ma:taxonomyMulti="true" ma:sspId="fed25f8e-50e6-4137-9d04-02130354ac1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2c733d-f853-4704-bad8-f624003fa4a7" elementFormDefault="qualified">
    <xsd:import namespace="http://schemas.microsoft.com/office/2006/documentManagement/types"/>
    <xsd:import namespace="http://schemas.microsoft.com/office/infopath/2007/PartnerControls"/>
    <xsd:element name="SharedWithUsers" ma:index="12"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Κοινή χρήση με λεπτομέρειες" ma:internalName="SharedWithDetails" ma:readOnly="true">
      <xsd:simpleType>
        <xsd:restriction base="dms:Note">
          <xsd:maxLength value="255"/>
        </xsd:restriction>
      </xsd:simpleType>
    </xsd:element>
    <xsd:element name="TaxCatchAll" ma:index="16" nillable="true" ma:displayName="Taxonomy Catch All Column" ma:hidden="true" ma:list="{821b6858-80d4-4e37-953b-b0a1df5fb798}" ma:internalName="TaxCatchAll" ma:showField="CatchAllData" ma:web="6b2c733d-f853-4704-bad8-f624003fa4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F49F3-1D7F-49E2-A89A-5CE64B845EE3}">
  <ds:schemaRefs>
    <ds:schemaRef ds:uri="http://schemas.microsoft.com/office/2006/metadata/properties"/>
    <ds:schemaRef ds:uri="http://schemas.microsoft.com/office/infopath/2007/PartnerControls"/>
    <ds:schemaRef ds:uri="ba0d38b7-287d-46fb-8300-244bc6d78e70"/>
    <ds:schemaRef ds:uri="c4da7bff-8681-4f82-928a-e0e39e4351d6"/>
  </ds:schemaRefs>
</ds:datastoreItem>
</file>

<file path=customXml/itemProps2.xml><?xml version="1.0" encoding="utf-8"?>
<ds:datastoreItem xmlns:ds="http://schemas.openxmlformats.org/officeDocument/2006/customXml" ds:itemID="{3798C414-22A4-4C9A-A552-9250A7F5E7A8}">
  <ds:schemaRefs>
    <ds:schemaRef ds:uri="http://schemas.microsoft.com/sharepoint/v3/contenttype/forms"/>
  </ds:schemaRefs>
</ds:datastoreItem>
</file>

<file path=customXml/itemProps3.xml><?xml version="1.0" encoding="utf-8"?>
<ds:datastoreItem xmlns:ds="http://schemas.openxmlformats.org/officeDocument/2006/customXml" ds:itemID="{B6E69659-A334-4950-9D2F-7B43DB52463A}"/>
</file>

<file path=customXml/itemProps4.xml><?xml version="1.0" encoding="utf-8"?>
<ds:datastoreItem xmlns:ds="http://schemas.openxmlformats.org/officeDocument/2006/customXml" ds:itemID="{E3B92A04-9499-41ED-A41A-12E59836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4229</TotalTime>
  <Pages>14</Pages>
  <Words>3988</Words>
  <Characters>22734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Peretto</dc:creator>
  <cp:keywords/>
  <dc:description/>
  <cp:lastModifiedBy>Marco Peretto</cp:lastModifiedBy>
  <cp:revision>60</cp:revision>
  <dcterms:created xsi:type="dcterms:W3CDTF">2024-01-17T16:37:00Z</dcterms:created>
  <dcterms:modified xsi:type="dcterms:W3CDTF">2024-02-12T13:02:00Z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0x010100A283B5B60DE7E34FB7C94335263C33F7</vt:lpwstr>
  </property>
  <property fmtid="{D5CDD505-2E9C-101B-9397-08002B2CF9AE}" pid="3" name="MediaServiceImageTags">
    <vt:lpwstr/>
  </property>
</Properties>
</file>